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33D" w14:textId="57F2AE06" w:rsidR="00AF7898" w:rsidRDefault="00E415C9" w:rsidP="00E415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15C9">
        <w:rPr>
          <w:rFonts w:ascii="Times New Roman" w:hAnsi="Times New Roman" w:cs="Times New Roman"/>
          <w:sz w:val="28"/>
          <w:szCs w:val="28"/>
          <w:lang w:val="uk-UA"/>
        </w:rPr>
        <w:t>Науковий ефект художньої діяльності</w:t>
      </w:r>
    </w:p>
    <w:p w14:paraId="728A496C" w14:textId="2D238E39" w:rsidR="00E15F65" w:rsidRDefault="00E15F65" w:rsidP="00E15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E15F65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В роботі розглядається </w:t>
      </w:r>
      <w:r w:rsidR="0060442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дисциплінарні і </w:t>
      </w:r>
      <w:proofErr w:type="spellStart"/>
      <w:r w:rsidR="0060442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трансдисциплінарні</w:t>
      </w:r>
      <w:proofErr w:type="spellEnd"/>
      <w:r w:rsidR="0060442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</w:t>
      </w:r>
      <w:r w:rsidR="004142A2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ситуаці</w:t>
      </w:r>
      <w:r w:rsidR="000A58C8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ї у сучасному</w:t>
      </w:r>
      <w:r w:rsidR="004142A2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мистецтві, коли художник стає досліднико</w:t>
      </w:r>
      <w:r w:rsidR="00DA7B4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м і вченим</w:t>
      </w:r>
      <w:r w:rsidR="00420790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. </w:t>
      </w:r>
      <w:r w:rsidR="00713383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Ф</w:t>
      </w:r>
      <w:r w:rsidR="00713383" w:rsidRPr="00713383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еномен художника-науковця дає плідні результати</w:t>
      </w:r>
      <w:r w:rsidR="00713383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, але</w:t>
      </w:r>
      <w:r w:rsidR="000A58C8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ставить </w:t>
      </w:r>
      <w:r w:rsidR="00A56C4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і </w:t>
      </w:r>
      <w:r w:rsidR="00A7028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ряд </w:t>
      </w:r>
      <w:r w:rsidR="00863051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питань, </w:t>
      </w:r>
      <w:r w:rsidR="0071684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зокрема, </w:t>
      </w:r>
      <w:proofErr w:type="spellStart"/>
      <w:r w:rsidR="00A7028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філософсько</w:t>
      </w:r>
      <w:proofErr w:type="spellEnd"/>
      <w:r w:rsidR="00A7028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-методологічних</w:t>
      </w:r>
      <w:r w:rsidR="0071684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</w:t>
      </w:r>
      <w:r w:rsidR="00A7028B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</w:t>
      </w:r>
    </w:p>
    <w:p w14:paraId="45DFC047" w14:textId="1B0203BA" w:rsidR="003E195C" w:rsidRPr="00E15F65" w:rsidRDefault="00BB7BC7" w:rsidP="00E15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Н</w:t>
      </w:r>
      <w:r w:rsidR="003E195C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аука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, мистецтво,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трансдисциплінарність</w:t>
      </w:r>
      <w:proofErr w:type="spellEnd"/>
      <w:r w:rsidR="006A410C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</w:t>
      </w:r>
    </w:p>
    <w:p w14:paraId="7ED6AB28" w14:textId="77777777" w:rsidR="00E15F65" w:rsidRDefault="00E15F65" w:rsidP="00E15F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856C6" w14:textId="77777777" w:rsidR="00D96D39" w:rsidRDefault="00E415C9" w:rsidP="001F28DA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4388">
        <w:rPr>
          <w:rFonts w:ascii="Times New Roman" w:hAnsi="Times New Roman" w:cs="Times New Roman"/>
          <w:sz w:val="28"/>
          <w:szCs w:val="28"/>
          <w:lang w:val="uk-UA"/>
        </w:rPr>
        <w:t xml:space="preserve">Наука і </w:t>
      </w:r>
      <w:r w:rsidR="003F012F">
        <w:rPr>
          <w:rFonts w:ascii="Times New Roman" w:hAnsi="Times New Roman" w:cs="Times New Roman"/>
          <w:sz w:val="28"/>
          <w:szCs w:val="28"/>
          <w:lang w:val="uk-UA"/>
        </w:rPr>
        <w:t xml:space="preserve">живопис досить </w:t>
      </w:r>
      <w:proofErr w:type="spellStart"/>
      <w:r w:rsidR="003F012F">
        <w:rPr>
          <w:rFonts w:ascii="Times New Roman" w:hAnsi="Times New Roman" w:cs="Times New Roman"/>
          <w:sz w:val="28"/>
          <w:szCs w:val="28"/>
          <w:lang w:val="uk-UA"/>
        </w:rPr>
        <w:t>різнопорядкові</w:t>
      </w:r>
      <w:proofErr w:type="spellEnd"/>
      <w:r w:rsidR="003F012F">
        <w:rPr>
          <w:rFonts w:ascii="Times New Roman" w:hAnsi="Times New Roman" w:cs="Times New Roman"/>
          <w:sz w:val="28"/>
          <w:szCs w:val="28"/>
          <w:lang w:val="uk-UA"/>
        </w:rPr>
        <w:t xml:space="preserve"> явища зі своїми </w:t>
      </w:r>
      <w:r w:rsidR="006C0076">
        <w:rPr>
          <w:rFonts w:ascii="Times New Roman" w:hAnsi="Times New Roman" w:cs="Times New Roman"/>
          <w:sz w:val="28"/>
          <w:szCs w:val="28"/>
          <w:lang w:val="uk-UA"/>
        </w:rPr>
        <w:t xml:space="preserve">власними </w:t>
      </w:r>
      <w:r w:rsidR="003F012F">
        <w:rPr>
          <w:rFonts w:ascii="Times New Roman" w:hAnsi="Times New Roman" w:cs="Times New Roman"/>
          <w:sz w:val="28"/>
          <w:szCs w:val="28"/>
          <w:lang w:val="uk-UA"/>
        </w:rPr>
        <w:t>ідеалами і нормами</w:t>
      </w:r>
      <w:r w:rsidR="006C0076">
        <w:rPr>
          <w:rFonts w:ascii="Times New Roman" w:hAnsi="Times New Roman" w:cs="Times New Roman"/>
          <w:sz w:val="28"/>
          <w:szCs w:val="28"/>
          <w:lang w:val="uk-UA"/>
        </w:rPr>
        <w:t xml:space="preserve">. Проте сучасна ситуація у </w:t>
      </w:r>
      <w:r w:rsidR="00E032C4">
        <w:rPr>
          <w:rFonts w:ascii="Times New Roman" w:hAnsi="Times New Roman" w:cs="Times New Roman"/>
          <w:sz w:val="28"/>
          <w:szCs w:val="28"/>
          <w:lang w:val="uk-UA"/>
        </w:rPr>
        <w:t xml:space="preserve">живопису </w:t>
      </w:r>
      <w:r w:rsidR="001C5AF6">
        <w:rPr>
          <w:rFonts w:ascii="Times New Roman" w:hAnsi="Times New Roman" w:cs="Times New Roman"/>
          <w:sz w:val="28"/>
          <w:szCs w:val="28"/>
          <w:lang w:val="uk-UA"/>
        </w:rPr>
        <w:t xml:space="preserve">нерідко </w:t>
      </w:r>
      <w:r w:rsidR="009A1A02">
        <w:rPr>
          <w:rFonts w:ascii="Times New Roman" w:hAnsi="Times New Roman" w:cs="Times New Roman"/>
          <w:sz w:val="28"/>
          <w:szCs w:val="28"/>
          <w:lang w:val="uk-UA"/>
        </w:rPr>
        <w:t xml:space="preserve">вимагає від </w:t>
      </w:r>
      <w:r w:rsidR="00AD5EE6">
        <w:rPr>
          <w:rFonts w:ascii="Times New Roman" w:hAnsi="Times New Roman" w:cs="Times New Roman"/>
          <w:sz w:val="28"/>
          <w:szCs w:val="28"/>
          <w:lang w:val="uk-UA"/>
        </w:rPr>
        <w:t>художників займатися науковими дослідженнями</w:t>
      </w:r>
      <w:r w:rsidR="00D205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1B7">
        <w:rPr>
          <w:rFonts w:ascii="Times New Roman" w:hAnsi="Times New Roman" w:cs="Times New Roman"/>
          <w:sz w:val="28"/>
          <w:szCs w:val="28"/>
          <w:lang w:val="uk-UA"/>
        </w:rPr>
        <w:t xml:space="preserve"> Чи дійсно це дає відповідний ефект?</w:t>
      </w:r>
      <w:r w:rsidR="00F34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7A24E3" w14:textId="53636DCE" w:rsidR="00E415C9" w:rsidRPr="00E415C9" w:rsidRDefault="00E415C9" w:rsidP="001F28DA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5C9">
        <w:rPr>
          <w:rFonts w:ascii="Times New Roman" w:hAnsi="Times New Roman" w:cs="Times New Roman"/>
          <w:sz w:val="28"/>
          <w:szCs w:val="28"/>
          <w:lang w:val="uk-UA"/>
        </w:rPr>
        <w:t>Художника як дослідника</w:t>
      </w:r>
      <w:r w:rsidR="00DC3C4C">
        <w:rPr>
          <w:rFonts w:ascii="Times New Roman" w:hAnsi="Times New Roman" w:cs="Times New Roman"/>
          <w:sz w:val="28"/>
          <w:szCs w:val="28"/>
          <w:lang w:val="uk-UA"/>
        </w:rPr>
        <w:t xml:space="preserve"> і навіть</w:t>
      </w:r>
      <w:r w:rsidR="007F1EEF">
        <w:rPr>
          <w:rFonts w:ascii="Times New Roman" w:hAnsi="Times New Roman" w:cs="Times New Roman"/>
          <w:sz w:val="28"/>
          <w:szCs w:val="28"/>
          <w:lang w:val="uk-UA"/>
        </w:rPr>
        <w:t xml:space="preserve"> науковця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 у </w:t>
      </w:r>
      <w:r w:rsidR="00F65A04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EEF">
        <w:rPr>
          <w:rFonts w:ascii="Times New Roman" w:hAnsi="Times New Roman" w:cs="Times New Roman"/>
          <w:sz w:val="28"/>
          <w:szCs w:val="28"/>
          <w:lang w:val="uk-UA"/>
        </w:rPr>
        <w:t>зріз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ах: дисциплінарному</w:t>
      </w:r>
      <w:r w:rsidR="00F65A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міждисциплінарному, </w:t>
      </w:r>
      <w:proofErr w:type="spellStart"/>
      <w:r w:rsidRPr="00E415C9">
        <w:rPr>
          <w:rFonts w:ascii="Times New Roman" w:hAnsi="Times New Roman" w:cs="Times New Roman"/>
          <w:sz w:val="28"/>
          <w:szCs w:val="28"/>
          <w:lang w:val="uk-UA"/>
        </w:rPr>
        <w:t>трансдисциплінарному</w:t>
      </w:r>
      <w:proofErr w:type="spellEnd"/>
      <w:r w:rsidRPr="00E415C9">
        <w:rPr>
          <w:rFonts w:ascii="Times New Roman" w:hAnsi="Times New Roman" w:cs="Times New Roman"/>
          <w:sz w:val="28"/>
          <w:szCs w:val="28"/>
          <w:lang w:val="uk-UA"/>
        </w:rPr>
        <w:t>. У дисциплінарному виміру художник займається своїм прямим призначенням, виконує професійну роботу тобто малює.</w:t>
      </w:r>
      <w:r w:rsidR="0024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707">
        <w:rPr>
          <w:rFonts w:ascii="Times New Roman" w:hAnsi="Times New Roman" w:cs="Times New Roman"/>
          <w:sz w:val="28"/>
          <w:szCs w:val="28"/>
          <w:lang w:val="uk-UA"/>
        </w:rPr>
        <w:t xml:space="preserve">Якщо він аматор, а не професіонал, все одно він працює </w:t>
      </w:r>
      <w:r w:rsidR="0024512C">
        <w:rPr>
          <w:rFonts w:ascii="Times New Roman" w:hAnsi="Times New Roman" w:cs="Times New Roman"/>
          <w:sz w:val="28"/>
          <w:szCs w:val="28"/>
          <w:lang w:val="uk-UA"/>
        </w:rPr>
        <w:t>у відповідному дисциплінарному руслі.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У міждисциплінарному виміру він стає </w:t>
      </w:r>
      <w:r w:rsidR="003D4272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на інші професійні рейки, коли організує виставки, блоги, архіви</w:t>
      </w:r>
      <w:r w:rsidR="00692A87">
        <w:rPr>
          <w:rFonts w:ascii="Times New Roman" w:hAnsi="Times New Roman" w:cs="Times New Roman"/>
          <w:sz w:val="28"/>
          <w:szCs w:val="28"/>
          <w:lang w:val="uk-UA"/>
        </w:rPr>
        <w:t>. Нерідко це потребує наукових знань</w:t>
      </w:r>
      <w:r w:rsidR="0056317D">
        <w:rPr>
          <w:rFonts w:ascii="Times New Roman" w:hAnsi="Times New Roman" w:cs="Times New Roman"/>
          <w:sz w:val="28"/>
          <w:szCs w:val="28"/>
          <w:lang w:val="uk-UA"/>
        </w:rPr>
        <w:t>, і художники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захища</w:t>
      </w:r>
      <w:r w:rsidR="0056317D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дисертації, </w:t>
      </w:r>
      <w:r w:rsidR="0056317D">
        <w:rPr>
          <w:rFonts w:ascii="Times New Roman" w:hAnsi="Times New Roman" w:cs="Times New Roman"/>
          <w:sz w:val="28"/>
          <w:szCs w:val="28"/>
          <w:lang w:val="uk-UA"/>
        </w:rPr>
        <w:t>пишуть наукові тексти</w:t>
      </w:r>
      <w:r w:rsidR="002B63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2B63EF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науковц</w:t>
      </w:r>
      <w:r w:rsidR="002B63EF">
        <w:rPr>
          <w:rFonts w:ascii="Times New Roman" w:hAnsi="Times New Roman" w:cs="Times New Roman"/>
          <w:sz w:val="28"/>
          <w:szCs w:val="28"/>
          <w:lang w:val="uk-UA"/>
        </w:rPr>
        <w:t>ями.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Суттєво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 xml:space="preserve">що вони 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досліджу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свою мистецьку діяльність чи твори колег вже як </w:t>
      </w:r>
      <w:proofErr w:type="spellStart"/>
      <w:r w:rsidRPr="00E415C9">
        <w:rPr>
          <w:rFonts w:ascii="Times New Roman" w:hAnsi="Times New Roman" w:cs="Times New Roman"/>
          <w:sz w:val="28"/>
          <w:szCs w:val="28"/>
          <w:lang w:val="uk-UA"/>
        </w:rPr>
        <w:t>науковец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E415C9">
        <w:rPr>
          <w:rFonts w:ascii="Times New Roman" w:hAnsi="Times New Roman" w:cs="Times New Roman"/>
          <w:sz w:val="28"/>
          <w:szCs w:val="28"/>
          <w:lang w:val="uk-UA"/>
        </w:rPr>
        <w:t>, як економіст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, менеджер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, історик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>, культуролог</w:t>
      </w:r>
      <w:r w:rsidR="00FF5C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5C9">
        <w:rPr>
          <w:rFonts w:ascii="Times New Roman" w:hAnsi="Times New Roman" w:cs="Times New Roman"/>
          <w:sz w:val="28"/>
          <w:szCs w:val="28"/>
          <w:lang w:val="uk-UA"/>
        </w:rPr>
        <w:t xml:space="preserve"> тощо. Це ознака сучасності. Тобто, сучасний художник повинен вміти не тільки малювати, але й досліджувати і писати про це. Є навіть приклади того, що художники мають десятки наукових публікацій стосовно лише однієї своєї картини.</w:t>
      </w:r>
    </w:p>
    <w:p w14:paraId="05E5F2C2" w14:textId="7578129F" w:rsidR="00E415C9" w:rsidRPr="00E415C9" w:rsidRDefault="00E415C9" w:rsidP="001F28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Трансдисциплінарність</w:t>
      </w:r>
      <w:proofErr w:type="spellEnd"/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проявляється тоді, коли якийсь мистецький проект об’єднує художників і інших професіоналів заради оновлення, скажімо, зруйнованого чи занедбаного міського середовища, де важливою початковою складовою є саме дослідницька робота, перш за все художників [</w:t>
      </w:r>
      <w:r w:rsidR="002516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]. Це відносно нове явище, в сучасному культурному житті, яке налічує лише кілька десятирічь, коли мистецькі проекти включають дослідницьку діяльність. Можна згадати</w:t>
      </w:r>
      <w:r w:rsidRPr="00E415C9">
        <w:rPr>
          <w:rFonts w:ascii="Times New Roman" w:eastAsia="Times New Roman" w:hAnsi="Times New Roman" w:cs="Times New Roman"/>
          <w:color w:val="4D5156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Міжнародний центр сучасного мистецтва XXI сторіччя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E41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PinchukArtCentre</w:t>
      </w:r>
      <w:proofErr w:type="spellEnd"/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 Києві.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Він, серед іншого, має дослідницьку платформу, метою якої є</w:t>
      </w:r>
      <w:r w:rsidRPr="00E415C9">
        <w:rPr>
          <w:rFonts w:ascii="Times New Roman" w:eastAsia="Times New Roman" w:hAnsi="Times New Roman" w:cs="Times New Roman"/>
          <w:color w:val="4D5156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дослідження мистецьких практик, </w:t>
      </w:r>
      <w:r w:rsidRPr="00E41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збереження, </w:t>
      </w:r>
      <w:proofErr w:type="spellStart"/>
      <w:r w:rsidRPr="00E41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каталогування</w:t>
      </w:r>
      <w:proofErr w:type="spellEnd"/>
      <w:r w:rsidRPr="00E41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, архівування та переосмислення </w:t>
      </w:r>
      <w:r w:rsidRPr="00E41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 xml:space="preserve">українського мистецтва. Цікавою ініціативою є </w:t>
      </w:r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Колектив конкретних дат, який виник у 2015 року як художня група, що працює з різноманітними практиками </w:t>
      </w:r>
      <w:proofErr w:type="spellStart"/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комеморації</w:t>
      </w:r>
      <w:proofErr w:type="spellEnd"/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. Зокрема, </w:t>
      </w:r>
      <w:r w:rsidR="004E77FD" w:rsidRPr="004E77FD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Колектив конкретних дат</w:t>
      </w:r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прагне глибшого розуміння публічних святкувань, їхньої ролі як в повсякденності, так і в ідеологічних і стратегічних </w:t>
      </w:r>
      <w:proofErr w:type="spellStart"/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наративах</w:t>
      </w:r>
      <w:proofErr w:type="spellEnd"/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, що явно має і науковий, і практичний сенс [</w:t>
      </w:r>
      <w:r w:rsidR="00F16BCA"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val="uk-UA" w:eastAsia="ru-RU"/>
          <w14:ligatures w14:val="none"/>
        </w:rPr>
        <w:t>2</w:t>
      </w:r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].</w:t>
      </w:r>
    </w:p>
    <w:p w14:paraId="619EAB3B" w14:textId="1CA59228" w:rsidR="00E415C9" w:rsidRPr="00E415C9" w:rsidRDefault="00E415C9" w:rsidP="001F28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ab/>
        <w:t xml:space="preserve">Поки важко сказати, чи це лише мода, чи стала тенденція. </w:t>
      </w:r>
      <w:r w:rsidR="00577810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Проте</w:t>
      </w:r>
      <w:r w:rsidR="00625C8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феномен художника-науковця</w:t>
      </w:r>
      <w:r w:rsidR="008F6D8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дає плідні результати</w:t>
      </w:r>
      <w:r w:rsidR="000941A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стає об’єктом дослідження.</w:t>
      </w:r>
      <w:r w:rsidR="003929B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хоча сумнівів </w:t>
      </w:r>
      <w:r w:rsidR="001F395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питань виникає багато. Серед них: чи такі </w:t>
      </w:r>
      <w:r w:rsidR="001F395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наукові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дослідження </w:t>
      </w:r>
      <w:r w:rsidR="001F395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художників</w:t>
      </w:r>
      <w:r w:rsidR="00B34AF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дійсно і завжди мають наукову цінність, тобто відповідають науковим ідеалам і нормам. Бо іноді результатом дослідження є лише опис технічних параметрів якоїсь мистецької новинки, і невігласи називають це наукою. </w:t>
      </w:r>
      <w:r w:rsidR="00F3493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 умовах</w:t>
      </w:r>
      <w:r w:rsidR="00FE283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F0257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небувалої спеціалізації наукового знання, </w:t>
      </w:r>
      <w:r w:rsidR="00102D4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</w:t>
      </w:r>
      <w:r w:rsidR="00D96E6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</w:t>
      </w:r>
      <w:r w:rsidR="00102D4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ивання кордонів між наукою і </w:t>
      </w:r>
      <w:proofErr w:type="spellStart"/>
      <w:r w:rsidR="00102D4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наненаукою</w:t>
      </w:r>
      <w:proofErr w:type="spellEnd"/>
      <w:r w:rsidR="00102D4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і навіть лженаукою</w:t>
      </w:r>
      <w:r w:rsidR="00D96E6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6F3D7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профе</w:t>
      </w:r>
      <w:r w:rsidR="004F76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сіоналізмом і аматорством</w:t>
      </w:r>
      <w:r w:rsidR="008E488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="004F76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A94477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наукою </w:t>
      </w:r>
      <w:r w:rsidR="00796E5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іноді </w:t>
      </w:r>
      <w:r w:rsidR="00A94477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вважа</w:t>
      </w:r>
      <w:r w:rsidR="00796E5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ють досить сумнівні речі</w:t>
      </w:r>
      <w:r w:rsidR="008E488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EC7D2C" w:rsidRPr="00EC7D2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[</w:t>
      </w:r>
      <w:bookmarkStart w:id="0" w:name="_Hlk150949940"/>
      <w:r w:rsidR="00F16BCA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1</w:t>
      </w:r>
      <w:r w:rsidR="00EC7D2C" w:rsidRPr="00EC7D2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]</w:t>
      </w:r>
      <w:bookmarkEnd w:id="0"/>
      <w:r w:rsidR="00F07A0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Невідомо також, чи краще художник оцінить свою чи чужу роботу, ніж професійний культуролог чи економіст. Але згаданий феномен художника-дослідника</w:t>
      </w:r>
      <w:r w:rsidR="00EF4B5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художника-науковця</w:t>
      </w:r>
      <w:r w:rsidR="001403A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зокрема</w:t>
      </w:r>
      <w:r w:rsidR="000A3485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</w:t>
      </w:r>
      <w:r w:rsidR="001403A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1403A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трансдисциплінарних</w:t>
      </w:r>
      <w:proofErr w:type="spellEnd"/>
      <w:r w:rsidR="001403A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0A3485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проектах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 будь якому разі є цікавим і деякі проекти такого роду мають практичне і наукове значення і гарні перспективи.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ab/>
        <w:t>Звісно, крім ентузіазму це потребує розумних, освічених, некорумпованих чиновників, гарного фінансування, професійних виконавців</w:t>
      </w:r>
      <w:r w:rsidRPr="00E415C9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. Але шлях осилить лише той, хто йде.</w:t>
      </w:r>
    </w:p>
    <w:p w14:paraId="0B0BC858" w14:textId="31A5AE91" w:rsidR="00E415C9" w:rsidRPr="00E415C9" w:rsidRDefault="00C92731" w:rsidP="001F28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</w:t>
      </w:r>
      <w:r w:rsidR="00A97CD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ковий </w:t>
      </w:r>
      <w:r w:rsidR="009C556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 науково-технічний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контекст</w:t>
      </w:r>
      <w:r w:rsidR="00A97CD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мають</w:t>
      </w:r>
      <w:r w:rsidR="0077143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деякі</w:t>
      </w:r>
      <w:r w:rsidR="00A31555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нов</w:t>
      </w:r>
      <w:r w:rsidR="00207BE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овведення</w:t>
      </w:r>
      <w:r w:rsidR="00A31555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 сучасному мистецтві</w:t>
      </w:r>
      <w:r w:rsidR="00584BD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які, з</w:t>
      </w:r>
      <w:r w:rsidR="007A022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окрема</w:t>
      </w:r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пов’язан</w:t>
      </w:r>
      <w:r w:rsidR="0075400B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також і з розумінням того, що не лише виставки є реалізацією і демонстрацією творчих здобутків. Йде пошук нових каналів демонстрації своїх творів і платформ зв’язку з глядачами. Це можуть бути блоги, електронні архіви, сайти і інші різноманітні форми і засоби комунікації у соціальних мережах. Зараз художнику нерідко навіть не потрібні майстерні, фарби і інше традиційне обладнання. Він може малювати на смартфоні, а потім, під певний проект відтворити це в журналі для публікації, чи в електронному архіві і на сайті чи у блогу, тобто не обов’язково на живописному </w:t>
      </w:r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полотні для виставки. Так з’являються «хмарні» художники, які накопичують свої твори на </w:t>
      </w:r>
      <w:proofErr w:type="spellStart"/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інтернетовій</w:t>
      </w:r>
      <w:proofErr w:type="spellEnd"/>
      <w:r w:rsidR="00E415C9"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хмарі.</w:t>
      </w:r>
    </w:p>
    <w:p w14:paraId="5E118E97" w14:textId="4C4B04AD" w:rsidR="00E415C9" w:rsidRPr="00E415C9" w:rsidRDefault="00E415C9" w:rsidP="001F28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Неабияке значення має </w:t>
      </w:r>
      <w:r w:rsidR="00E954BA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наукове 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дослідження впливу художнього доробку на глядача. Скільки часу глядач проводить  біля твору, чи залишається в нього лише візуальне відчуття, чи розуміння, як саме він його розуміє?  Для цього треба скласти і обробити статистику, знати психологію сприйняття, соціологію опитування та інше. Тобто, художнику часто потрібно дослідити і те, що за рамками творчості</w:t>
      </w:r>
      <w:r w:rsidR="00996B0B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="0081517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але важливо для творчості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І це може передувати майбутньому твору, чи навпаки, проводитись після завершення і оприлюднення, а дослідження може бути виконано  у самих різних дисциплінах: економічних, політичних, технологічних, фізико-хімічних, естетико-філософських тощо. </w:t>
      </w:r>
    </w:p>
    <w:p w14:paraId="629820A7" w14:textId="151F5EA3" w:rsidR="00E415C9" w:rsidRDefault="00E415C9" w:rsidP="001F28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Важко уявити ту сферу, яка буде непотрібною для дослідження в плані подальшого використання в живописному акті. Прикладом може бути робота Аліси </w:t>
      </w:r>
      <w:proofErr w:type="spellStart"/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Йоффе</w:t>
      </w:r>
      <w:proofErr w:type="spellEnd"/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«Скажи, що ти мій раб і що ти любиш мене». Це зображення кількох прямокутників одного кольору у певному порядку. Художниця використала фарби різної вартості і різної якості. Вони нанесені на полотно в порядку зростання якості фарби. Фарби з часом будуть псуватися по-різному, в залежності від якості, і, відповідно, ціни. Дешеві фарби лягають нерівним шаром, швидко вицвітають, обсипаються. Тобто постає кілька важливих питань, які також можна викласти в порядку зростання загальності і важливості для мистецтва</w:t>
      </w:r>
      <w:r w:rsidR="00861050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796E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науки, філософії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 По-перше, суто практичне, хто з виробників фарби кращий, по-друге, як пов’язана ціна продукту з його якістю, чи може бути дешевий продукт якісним, по третє, що визначає збереження у часі художніх творів, по-четверте,  чи справді ціна визначає якість і довговічність</w:t>
      </w:r>
      <w:r w:rsidRPr="00E415C9">
        <w:rPr>
          <w:rFonts w:ascii="Open Sans" w:eastAsia="Times New Roman" w:hAnsi="Open Sans" w:cs="Open Sans"/>
          <w:color w:val="444444"/>
          <w:kern w:val="0"/>
          <w:sz w:val="21"/>
          <w:szCs w:val="21"/>
          <w:shd w:val="clear" w:color="auto" w:fill="FFFFFF"/>
          <w:lang w:val="uk-UA"/>
          <w14:ligatures w14:val="none"/>
        </w:rPr>
        <w:t xml:space="preserve"> </w:t>
      </w:r>
      <w:r w:rsidRPr="00E415C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shd w:val="clear" w:color="auto" w:fill="FFFFFF"/>
          <w:lang w:val="uk-UA"/>
          <w14:ligatures w14:val="none"/>
        </w:rPr>
        <w:t>і якій зв'язок між фінансуванням та продукуванням мистецтва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по-п’яте, як по’вязані назва і смисл того чи іншого твору, по-шосте, яка інтерпретація глядача чи критика є ідентичною авторському задуму</w:t>
      </w:r>
      <w:r w:rsidR="0053272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по-сьоме, чи може дослідник</w:t>
      </w:r>
      <w:r w:rsidR="009A02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розуміти твір краще за автора</w:t>
      </w:r>
      <w:r w:rsidRPr="00E415C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?</w:t>
      </w:r>
    </w:p>
    <w:p w14:paraId="2B9BAC85" w14:textId="043FB29D" w:rsidR="009C4E0C" w:rsidRDefault="009C4E0C" w:rsidP="009C4E0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93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все більше художників повинні ставати дослідниками і навіть науковцями, що породжує багато різноманітних питань, зокрема, </w:t>
      </w:r>
      <w:r w:rsidRPr="005B19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методологічних: наскільки результати таких досліджень відповідають науковим нормам, як поєднати мистецькі і наукові критерії тощо. </w:t>
      </w:r>
      <w:r w:rsidRPr="0028308A">
        <w:rPr>
          <w:rFonts w:ascii="Times New Roman" w:hAnsi="Times New Roman" w:cs="Times New Roman"/>
          <w:sz w:val="28"/>
          <w:szCs w:val="28"/>
          <w:lang w:val="uk-UA"/>
        </w:rPr>
        <w:t>Очевидно, що феномен художника-</w:t>
      </w:r>
      <w:r w:rsidR="0028308A">
        <w:rPr>
          <w:rFonts w:ascii="Times New Roman" w:hAnsi="Times New Roman" w:cs="Times New Roman"/>
          <w:sz w:val="28"/>
          <w:szCs w:val="28"/>
          <w:lang w:val="uk-UA"/>
        </w:rPr>
        <w:t>науковця</w:t>
      </w:r>
      <w:r w:rsidRPr="0028308A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подальшого </w:t>
      </w:r>
      <w:r w:rsidR="00F65A04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Pr="00283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729D3A" w14:textId="51CA9477" w:rsidR="00667708" w:rsidRDefault="00667708" w:rsidP="009C4E0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14:paraId="63C64724" w14:textId="48A40CEA" w:rsidR="008249B3" w:rsidRDefault="006515E2" w:rsidP="00713F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Афанасьєв О.І., Василенко І.Л.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Трансдисциплінарність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 і професіоналізм //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Докса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. Збірник наукових праць з філософії та філології.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. 2 (26). Гуманітарний дискурс: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дисціплінарність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міждисціплінарність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5E2">
        <w:rPr>
          <w:rFonts w:ascii="Times New Roman" w:hAnsi="Times New Roman" w:cs="Times New Roman"/>
          <w:sz w:val="28"/>
          <w:szCs w:val="28"/>
          <w:lang w:val="uk-UA"/>
        </w:rPr>
        <w:t>трансдисціплінарність</w:t>
      </w:r>
      <w:proofErr w:type="spellEnd"/>
      <w:r w:rsidRPr="006515E2">
        <w:rPr>
          <w:rFonts w:ascii="Times New Roman" w:hAnsi="Times New Roman" w:cs="Times New Roman"/>
          <w:sz w:val="28"/>
          <w:szCs w:val="28"/>
          <w:lang w:val="uk-UA"/>
        </w:rPr>
        <w:t>. Одеса: Акваторія, 2016. 208 с. С.8-18.</w:t>
      </w:r>
    </w:p>
    <w:p w14:paraId="0E84EF8C" w14:textId="77777777" w:rsidR="00A51576" w:rsidRPr="006C7E35" w:rsidRDefault="00A51576" w:rsidP="00713F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E35">
        <w:rPr>
          <w:rFonts w:ascii="Times New Roman" w:hAnsi="Times New Roman" w:cs="Times New Roman"/>
          <w:sz w:val="28"/>
          <w:szCs w:val="28"/>
          <w:lang w:val="uk-UA"/>
        </w:rPr>
        <w:t xml:space="preserve">Калита Н. Павло </w:t>
      </w:r>
      <w:proofErr w:type="spellStart"/>
      <w:r w:rsidRPr="006C7E35">
        <w:rPr>
          <w:rFonts w:ascii="Times New Roman" w:hAnsi="Times New Roman" w:cs="Times New Roman"/>
          <w:sz w:val="28"/>
          <w:szCs w:val="28"/>
          <w:lang w:val="uk-UA"/>
        </w:rPr>
        <w:t>Хайло</w:t>
      </w:r>
      <w:proofErr w:type="spellEnd"/>
      <w:r w:rsidRPr="006C7E35">
        <w:rPr>
          <w:rFonts w:ascii="Times New Roman" w:hAnsi="Times New Roman" w:cs="Times New Roman"/>
          <w:sz w:val="28"/>
          <w:szCs w:val="28"/>
          <w:lang w:val="uk-UA"/>
        </w:rPr>
        <w:t xml:space="preserve"> про того, хто </w:t>
      </w:r>
      <w:proofErr w:type="spellStart"/>
      <w:r w:rsidRPr="006C7E35">
        <w:rPr>
          <w:rFonts w:ascii="Times New Roman" w:hAnsi="Times New Roman" w:cs="Times New Roman"/>
          <w:sz w:val="28"/>
          <w:szCs w:val="28"/>
          <w:lang w:val="uk-UA"/>
        </w:rPr>
        <w:t>такии</w:t>
      </w:r>
      <w:proofErr w:type="spellEnd"/>
      <w:r w:rsidRPr="006C7E35">
        <w:rPr>
          <w:rFonts w:ascii="Times New Roman" w:hAnsi="Times New Roman" w:cs="Times New Roman"/>
          <w:sz w:val="28"/>
          <w:szCs w:val="28"/>
          <w:lang w:val="uk-UA"/>
        </w:rPr>
        <w:t>̆ художник-дослідник та що таке колективність. 2020. URL: https://supportyourart.com/conversations/hajlo/</w:t>
      </w:r>
    </w:p>
    <w:p w14:paraId="552BD53A" w14:textId="2BE74EC9" w:rsidR="00861D6C" w:rsidRPr="006C7E35" w:rsidRDefault="002D60B0" w:rsidP="00713F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E35">
        <w:rPr>
          <w:rFonts w:ascii="Times New Roman" w:hAnsi="Times New Roman" w:cs="Times New Roman"/>
          <w:sz w:val="28"/>
          <w:szCs w:val="28"/>
          <w:lang w:val="uk-UA"/>
        </w:rPr>
        <w:t xml:space="preserve">Лозовий Л. Синергія і залюднення: три історії про зв’язки будівельного капіталу з мистецтвом. 2020. URL: </w:t>
      </w:r>
      <w:hyperlink r:id="rId6" w:history="1">
        <w:r w:rsidRPr="006C7E3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http://korydor.in.ua/ua/stories/synerhiia-i-zaliudnennia-try-istorii-pro-zv-iazky-budivelnoho-kapitalu-z-mystetstvom.html</w:t>
        </w:r>
      </w:hyperlink>
    </w:p>
    <w:p w14:paraId="34F77CEE" w14:textId="77777777" w:rsidR="00667708" w:rsidRPr="0028308A" w:rsidRDefault="00667708" w:rsidP="006677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1D1E7" w14:textId="77777777" w:rsidR="009C4E0C" w:rsidRPr="00E415C9" w:rsidRDefault="009C4E0C" w:rsidP="001F28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6ACD10D" w14:textId="012992CB" w:rsidR="00E415C9" w:rsidRPr="00E415C9" w:rsidRDefault="00E415C9" w:rsidP="001F28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15C9" w:rsidRPr="00E415C9" w:rsidSect="00436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D78"/>
    <w:multiLevelType w:val="hybridMultilevel"/>
    <w:tmpl w:val="BA42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72825"/>
    <w:multiLevelType w:val="hybridMultilevel"/>
    <w:tmpl w:val="ADA8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4174">
    <w:abstractNumId w:val="1"/>
  </w:num>
  <w:num w:numId="2" w16cid:durableId="10597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79"/>
    <w:rsid w:val="000556D8"/>
    <w:rsid w:val="0006326E"/>
    <w:rsid w:val="000941A4"/>
    <w:rsid w:val="000A3485"/>
    <w:rsid w:val="000A58C8"/>
    <w:rsid w:val="000C089D"/>
    <w:rsid w:val="000C1613"/>
    <w:rsid w:val="000F31B7"/>
    <w:rsid w:val="00102D49"/>
    <w:rsid w:val="001403A8"/>
    <w:rsid w:val="00197828"/>
    <w:rsid w:val="001C5AF6"/>
    <w:rsid w:val="001F28DA"/>
    <w:rsid w:val="001F3952"/>
    <w:rsid w:val="00207BE2"/>
    <w:rsid w:val="0024512C"/>
    <w:rsid w:val="00251608"/>
    <w:rsid w:val="0028308A"/>
    <w:rsid w:val="002B63EF"/>
    <w:rsid w:val="002D60B0"/>
    <w:rsid w:val="00310707"/>
    <w:rsid w:val="003929BE"/>
    <w:rsid w:val="003D4272"/>
    <w:rsid w:val="003E195C"/>
    <w:rsid w:val="003F012F"/>
    <w:rsid w:val="003F4D35"/>
    <w:rsid w:val="00411259"/>
    <w:rsid w:val="004142A2"/>
    <w:rsid w:val="00420790"/>
    <w:rsid w:val="00436C82"/>
    <w:rsid w:val="00447AB2"/>
    <w:rsid w:val="004A66BE"/>
    <w:rsid w:val="004E77FD"/>
    <w:rsid w:val="004F7639"/>
    <w:rsid w:val="00532729"/>
    <w:rsid w:val="005564B3"/>
    <w:rsid w:val="0056317D"/>
    <w:rsid w:val="00577810"/>
    <w:rsid w:val="00583533"/>
    <w:rsid w:val="00584BDC"/>
    <w:rsid w:val="005B1938"/>
    <w:rsid w:val="0060442D"/>
    <w:rsid w:val="00625C86"/>
    <w:rsid w:val="00644388"/>
    <w:rsid w:val="006515E2"/>
    <w:rsid w:val="00667708"/>
    <w:rsid w:val="00692A87"/>
    <w:rsid w:val="006A410C"/>
    <w:rsid w:val="006C0076"/>
    <w:rsid w:val="006C7E35"/>
    <w:rsid w:val="006F3D7E"/>
    <w:rsid w:val="00713383"/>
    <w:rsid w:val="00713F90"/>
    <w:rsid w:val="0071684D"/>
    <w:rsid w:val="0075400B"/>
    <w:rsid w:val="0077126B"/>
    <w:rsid w:val="00771436"/>
    <w:rsid w:val="00775979"/>
    <w:rsid w:val="00796E54"/>
    <w:rsid w:val="00796EA9"/>
    <w:rsid w:val="007A022C"/>
    <w:rsid w:val="007E539F"/>
    <w:rsid w:val="007F1EEF"/>
    <w:rsid w:val="00815179"/>
    <w:rsid w:val="008249B3"/>
    <w:rsid w:val="00835E2D"/>
    <w:rsid w:val="00861050"/>
    <w:rsid w:val="00861D6C"/>
    <w:rsid w:val="00863051"/>
    <w:rsid w:val="008E4884"/>
    <w:rsid w:val="008F6D88"/>
    <w:rsid w:val="00996B0B"/>
    <w:rsid w:val="009A0206"/>
    <w:rsid w:val="009A1A02"/>
    <w:rsid w:val="009C4E0C"/>
    <w:rsid w:val="009C556D"/>
    <w:rsid w:val="00A31555"/>
    <w:rsid w:val="00A51576"/>
    <w:rsid w:val="00A56C4B"/>
    <w:rsid w:val="00A7028B"/>
    <w:rsid w:val="00A764BE"/>
    <w:rsid w:val="00A94477"/>
    <w:rsid w:val="00A97CDF"/>
    <w:rsid w:val="00AD5EE6"/>
    <w:rsid w:val="00AF4979"/>
    <w:rsid w:val="00AF7898"/>
    <w:rsid w:val="00B34AF6"/>
    <w:rsid w:val="00BB7BC7"/>
    <w:rsid w:val="00C062D5"/>
    <w:rsid w:val="00C92731"/>
    <w:rsid w:val="00D20577"/>
    <w:rsid w:val="00D27B5C"/>
    <w:rsid w:val="00D96D39"/>
    <w:rsid w:val="00D96E69"/>
    <w:rsid w:val="00DA7B4D"/>
    <w:rsid w:val="00DC3C4C"/>
    <w:rsid w:val="00E032C4"/>
    <w:rsid w:val="00E15F65"/>
    <w:rsid w:val="00E415C9"/>
    <w:rsid w:val="00E954BA"/>
    <w:rsid w:val="00EC7D2C"/>
    <w:rsid w:val="00EF4B51"/>
    <w:rsid w:val="00F02574"/>
    <w:rsid w:val="00F07A01"/>
    <w:rsid w:val="00F16BCA"/>
    <w:rsid w:val="00F345D6"/>
    <w:rsid w:val="00F3493E"/>
    <w:rsid w:val="00F65A04"/>
    <w:rsid w:val="00F92E85"/>
    <w:rsid w:val="00FE283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BA4E"/>
  <w15:chartTrackingRefBased/>
  <w15:docId w15:val="{D453AE58-3084-4A9F-83A2-D4E4B5C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415C9"/>
    <w:pPr>
      <w:spacing w:after="0" w:line="240" w:lineRule="auto"/>
    </w:pPr>
    <w:rPr>
      <w:rFonts w:eastAsia="Times New Roman"/>
      <w:kern w:val="0"/>
      <w14:ligatures w14:val="none"/>
    </w:rPr>
  </w:style>
  <w:style w:type="paragraph" w:styleId="a3">
    <w:name w:val="No Spacing"/>
    <w:uiPriority w:val="1"/>
    <w:qFormat/>
    <w:rsid w:val="00E415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60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60B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5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ydor.in.ua/ua/stories/synerhiia-i-zaliudnennia-try-istorii-pro-zv-iazky-budivelnoho-kapitalu-z-mystetstvo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9537-0929-4B2B-9F43-BA739AC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111</cp:revision>
  <dcterms:created xsi:type="dcterms:W3CDTF">2023-11-14T17:12:00Z</dcterms:created>
  <dcterms:modified xsi:type="dcterms:W3CDTF">2023-11-15T16:11:00Z</dcterms:modified>
</cp:coreProperties>
</file>