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D8" w:rsidRPr="0099646D" w:rsidRDefault="00835BD8" w:rsidP="00FD1862">
      <w:pPr>
        <w:spacing w:after="0" w:line="240" w:lineRule="auto"/>
        <w:ind w:firstLine="720"/>
        <w:rPr>
          <w:b/>
          <w:bCs/>
          <w:sz w:val="24"/>
          <w:szCs w:val="24"/>
        </w:rPr>
      </w:pPr>
      <w:r w:rsidRPr="0099646D">
        <w:rPr>
          <w:b/>
          <w:bCs/>
          <w:sz w:val="24"/>
          <w:szCs w:val="24"/>
        </w:rPr>
        <w:t>ТЕНДЕНЦІЇ РОЗВИТКУ МІЖНАРОДНИХ ФОНДОВИХ БІРЖ</w:t>
      </w:r>
    </w:p>
    <w:p w:rsidR="00835BD8" w:rsidRPr="0099646D" w:rsidRDefault="00835BD8" w:rsidP="00FD1862">
      <w:pPr>
        <w:spacing w:after="0" w:line="240" w:lineRule="auto"/>
        <w:ind w:firstLine="720"/>
        <w:rPr>
          <w:b/>
          <w:bCs/>
          <w:sz w:val="24"/>
          <w:szCs w:val="24"/>
        </w:rPr>
      </w:pPr>
      <w:r w:rsidRPr="0099646D">
        <w:rPr>
          <w:b/>
          <w:bCs/>
          <w:sz w:val="24"/>
          <w:szCs w:val="24"/>
        </w:rPr>
        <w:t xml:space="preserve"> DEVELOPMENT TENDENCIES OF INTERNATIONAL STOCK EXCHANGES</w:t>
      </w:r>
    </w:p>
    <w:p w:rsidR="00835BD8" w:rsidRPr="0099646D" w:rsidRDefault="00835BD8" w:rsidP="00FD1862">
      <w:pPr>
        <w:spacing w:after="0" w:line="240" w:lineRule="auto"/>
        <w:rPr>
          <w:sz w:val="24"/>
          <w:szCs w:val="24"/>
        </w:rPr>
      </w:pPr>
      <w:r w:rsidRPr="0099646D">
        <w:rPr>
          <w:sz w:val="24"/>
          <w:szCs w:val="24"/>
        </w:rPr>
        <w:t>Науковий керівник: к.е.н. доцент кафедри менеджменту, фінансів і бізнес-технологій</w:t>
      </w:r>
    </w:p>
    <w:p w:rsidR="00835BD8" w:rsidRPr="0099646D" w:rsidRDefault="00835BD8" w:rsidP="00FD1862">
      <w:pPr>
        <w:spacing w:after="0" w:line="240" w:lineRule="auto"/>
        <w:rPr>
          <w:sz w:val="24"/>
          <w:szCs w:val="24"/>
        </w:rPr>
      </w:pPr>
      <w:r w:rsidRPr="0099646D">
        <w:rPr>
          <w:sz w:val="24"/>
          <w:szCs w:val="24"/>
        </w:rPr>
        <w:t>Васютинська Людмила Анатоліївна</w:t>
      </w:r>
    </w:p>
    <w:p w:rsidR="00835BD8" w:rsidRPr="0099646D" w:rsidRDefault="00835BD8" w:rsidP="00FD1862">
      <w:pPr>
        <w:spacing w:after="0" w:line="240" w:lineRule="auto"/>
        <w:rPr>
          <w:sz w:val="24"/>
          <w:szCs w:val="24"/>
        </w:rPr>
      </w:pPr>
      <w:r w:rsidRPr="0099646D">
        <w:rPr>
          <w:sz w:val="24"/>
          <w:szCs w:val="24"/>
          <w:shd w:val="clear" w:color="auto" w:fill="FFFFFF"/>
        </w:rPr>
        <w:t>Здобувач бакалаврату</w:t>
      </w:r>
      <w:bookmarkStart w:id="0" w:name="_GoBack"/>
      <w:r>
        <w:rPr>
          <w:sz w:val="24"/>
          <w:szCs w:val="24"/>
          <w:shd w:val="clear" w:color="auto" w:fill="FFFFFF"/>
        </w:rPr>
        <w:t xml:space="preserve"> </w:t>
      </w:r>
      <w:r w:rsidRPr="0099646D">
        <w:rPr>
          <w:sz w:val="24"/>
          <w:szCs w:val="24"/>
          <w:shd w:val="clear" w:color="auto" w:fill="FFFFFF"/>
        </w:rPr>
        <w:t>Коробова Єлєна  Володимирівна</w:t>
      </w:r>
      <w:bookmarkEnd w:id="0"/>
    </w:p>
    <w:p w:rsidR="00835BD8" w:rsidRPr="00ED3885" w:rsidRDefault="00835BD8" w:rsidP="00FD1862">
      <w:pPr>
        <w:spacing w:after="0" w:line="240" w:lineRule="auto"/>
        <w:rPr>
          <w:sz w:val="24"/>
          <w:szCs w:val="24"/>
          <w:lang w:val="en-US"/>
        </w:rPr>
      </w:pPr>
      <w:r w:rsidRPr="00ED3885">
        <w:rPr>
          <w:color w:val="202124"/>
          <w:sz w:val="24"/>
          <w:szCs w:val="24"/>
          <w:shd w:val="clear" w:color="auto" w:fill="FFFFFF"/>
          <w:lang w:val="en-US"/>
        </w:rPr>
        <w:t xml:space="preserve">Supervisor: </w:t>
      </w:r>
      <w:r w:rsidRPr="00ED3885">
        <w:rPr>
          <w:sz w:val="24"/>
          <w:szCs w:val="24"/>
          <w:lang w:val="en-US"/>
        </w:rPr>
        <w:t>PhD, Associate Professor</w:t>
      </w:r>
    </w:p>
    <w:p w:rsidR="00835BD8" w:rsidRPr="00ED3885" w:rsidRDefault="00835BD8" w:rsidP="00FD1862">
      <w:pPr>
        <w:spacing w:after="0" w:line="240" w:lineRule="auto"/>
        <w:rPr>
          <w:b/>
          <w:bCs/>
          <w:sz w:val="24"/>
          <w:szCs w:val="24"/>
          <w:lang w:val="en-US"/>
        </w:rPr>
      </w:pPr>
      <w:r w:rsidRPr="00ED3885">
        <w:rPr>
          <w:sz w:val="24"/>
          <w:szCs w:val="24"/>
          <w:lang w:val="en-US"/>
        </w:rPr>
        <w:t>Vasyutynska Lyudmyla</w:t>
      </w:r>
    </w:p>
    <w:p w:rsidR="00835BD8" w:rsidRPr="00DD0850" w:rsidRDefault="00835BD8" w:rsidP="00DD0850">
      <w:pPr>
        <w:spacing w:after="0" w:line="240" w:lineRule="auto"/>
        <w:rPr>
          <w:sz w:val="24"/>
          <w:szCs w:val="24"/>
        </w:rPr>
      </w:pPr>
      <w:r w:rsidRPr="00ED3885">
        <w:rPr>
          <w:sz w:val="24"/>
          <w:szCs w:val="24"/>
          <w:lang w:val="en-US"/>
        </w:rPr>
        <w:t>Department of Management, Finance and Business Technologies</w:t>
      </w:r>
    </w:p>
    <w:p w:rsidR="00835BD8" w:rsidRPr="00DD0850" w:rsidRDefault="00835BD8" w:rsidP="00FD1862">
      <w:pPr>
        <w:spacing w:after="0" w:line="240" w:lineRule="auto"/>
        <w:rPr>
          <w:sz w:val="24"/>
          <w:szCs w:val="24"/>
        </w:rPr>
      </w:pPr>
      <w:r w:rsidRPr="00ED3885">
        <w:rPr>
          <w:sz w:val="24"/>
          <w:szCs w:val="24"/>
          <w:shd w:val="clear" w:color="auto" w:fill="FFFFFF"/>
          <w:lang w:val="en-US"/>
        </w:rPr>
        <w:t>Bachelor</w:t>
      </w:r>
      <w:r w:rsidRPr="00DD0850">
        <w:rPr>
          <w:sz w:val="24"/>
          <w:szCs w:val="24"/>
          <w:shd w:val="clear" w:color="auto" w:fill="FFFFFF"/>
        </w:rPr>
        <w:t xml:space="preserve"> </w:t>
      </w:r>
      <w:r w:rsidRPr="00ED3885">
        <w:rPr>
          <w:caps/>
          <w:color w:val="282828"/>
          <w:sz w:val="24"/>
          <w:szCs w:val="24"/>
          <w:shd w:val="clear" w:color="auto" w:fill="FFFFFF"/>
          <w:lang w:val="en-US"/>
        </w:rPr>
        <w:t>K</w:t>
      </w:r>
      <w:r w:rsidRPr="00ED3885">
        <w:rPr>
          <w:color w:val="282828"/>
          <w:sz w:val="24"/>
          <w:szCs w:val="24"/>
          <w:shd w:val="clear" w:color="auto" w:fill="FFFFFF"/>
          <w:lang w:val="en-US"/>
        </w:rPr>
        <w:t>orobova</w:t>
      </w:r>
      <w:r w:rsidRPr="00DD0850">
        <w:rPr>
          <w:color w:val="282828"/>
          <w:sz w:val="24"/>
          <w:szCs w:val="24"/>
          <w:shd w:val="clear" w:color="auto" w:fill="FFFFFF"/>
        </w:rPr>
        <w:t xml:space="preserve"> </w:t>
      </w:r>
      <w:r w:rsidRPr="00ED3885">
        <w:rPr>
          <w:color w:val="282828"/>
          <w:sz w:val="24"/>
          <w:szCs w:val="24"/>
          <w:shd w:val="clear" w:color="auto" w:fill="FFFFFF"/>
          <w:lang w:val="en-US"/>
        </w:rPr>
        <w:t>Yeliena</w:t>
      </w:r>
    </w:p>
    <w:p w:rsidR="00835BD8" w:rsidRPr="0099646D" w:rsidRDefault="00835BD8" w:rsidP="00FD1862">
      <w:pPr>
        <w:spacing w:after="0" w:line="240" w:lineRule="auto"/>
        <w:ind w:firstLine="709"/>
        <w:jc w:val="both"/>
        <w:rPr>
          <w:sz w:val="24"/>
          <w:szCs w:val="24"/>
        </w:rPr>
      </w:pPr>
    </w:p>
    <w:p w:rsidR="00835BD8" w:rsidRPr="004A4B97" w:rsidRDefault="00835BD8" w:rsidP="00FD1862">
      <w:pPr>
        <w:spacing w:after="0" w:line="240" w:lineRule="auto"/>
        <w:ind w:firstLine="709"/>
        <w:jc w:val="both"/>
        <w:rPr>
          <w:sz w:val="24"/>
          <w:szCs w:val="24"/>
        </w:rPr>
      </w:pPr>
      <w:r w:rsidRPr="00070BE4">
        <w:rPr>
          <w:b/>
          <w:bCs/>
          <w:sz w:val="24"/>
          <w:szCs w:val="24"/>
        </w:rPr>
        <w:t>Анотація.</w:t>
      </w:r>
      <w:r>
        <w:rPr>
          <w:b/>
          <w:bCs/>
          <w:sz w:val="24"/>
          <w:szCs w:val="24"/>
        </w:rPr>
        <w:t xml:space="preserve"> </w:t>
      </w:r>
      <w:r w:rsidRPr="00070BE4">
        <w:rPr>
          <w:sz w:val="24"/>
          <w:szCs w:val="24"/>
        </w:rPr>
        <w:t xml:space="preserve">Проаналізовано сучасні тенденції розвитку топ-10 міжнародних фондових </w:t>
      </w:r>
      <w:r w:rsidRPr="004A4B97">
        <w:rPr>
          <w:sz w:val="24"/>
          <w:szCs w:val="24"/>
        </w:rPr>
        <w:t xml:space="preserve">бірж. Обґрунтовано особливість сучасного розвитку міжнародного фондового ринку. Визначена роль і цінність фондових бірж в міжнародному середовищі.  Досліджено вплив глобалізаційних процесів на розвиток міжнародних фондових бірж. </w:t>
      </w:r>
    </w:p>
    <w:p w:rsidR="00835BD8" w:rsidRPr="004A4B97" w:rsidRDefault="00835BD8" w:rsidP="00FD1862">
      <w:pPr>
        <w:spacing w:after="0" w:line="240" w:lineRule="auto"/>
        <w:ind w:firstLine="709"/>
        <w:jc w:val="both"/>
        <w:rPr>
          <w:sz w:val="24"/>
          <w:szCs w:val="24"/>
        </w:rPr>
      </w:pPr>
      <w:r w:rsidRPr="004A4B97">
        <w:rPr>
          <w:b/>
          <w:bCs/>
          <w:sz w:val="24"/>
          <w:szCs w:val="24"/>
        </w:rPr>
        <w:t xml:space="preserve">Ключові слова: </w:t>
      </w:r>
      <w:r w:rsidRPr="004A4B97">
        <w:rPr>
          <w:sz w:val="24"/>
          <w:szCs w:val="24"/>
        </w:rPr>
        <w:t xml:space="preserve">фондові біржі, ринкова капіталізація, фондовий ринок, глобалізація,  цінні папери. </w:t>
      </w:r>
    </w:p>
    <w:p w:rsidR="00835BD8" w:rsidRPr="00484952" w:rsidRDefault="00835BD8" w:rsidP="00FD1862">
      <w:pPr>
        <w:spacing w:after="0" w:line="240" w:lineRule="auto"/>
        <w:ind w:firstLine="709"/>
        <w:jc w:val="both"/>
        <w:rPr>
          <w:b/>
          <w:color w:val="222222"/>
          <w:sz w:val="24"/>
          <w:szCs w:val="24"/>
          <w:shd w:val="clear" w:color="auto" w:fill="FFFFFF"/>
          <w:lang w:val="en-US"/>
        </w:rPr>
      </w:pPr>
      <w:r w:rsidRPr="004A4B97">
        <w:rPr>
          <w:b/>
          <w:color w:val="222222"/>
          <w:sz w:val="24"/>
          <w:szCs w:val="24"/>
          <w:shd w:val="clear" w:color="auto" w:fill="FFFFFF"/>
          <w:lang w:val="en-US"/>
        </w:rPr>
        <w:t xml:space="preserve">Annotation. </w:t>
      </w:r>
      <w:r w:rsidRPr="004A4B97">
        <w:rPr>
          <w:bCs/>
          <w:color w:val="222222"/>
          <w:sz w:val="24"/>
          <w:szCs w:val="24"/>
          <w:shd w:val="clear" w:color="auto" w:fill="FFFFFF"/>
          <w:lang w:val="en-US"/>
        </w:rPr>
        <w:t>Modern development trends of the top 10 international stock exchanges are analyzed. The peculiarity</w:t>
      </w:r>
      <w:r w:rsidRPr="00484952">
        <w:rPr>
          <w:bCs/>
          <w:color w:val="222222"/>
          <w:sz w:val="24"/>
          <w:szCs w:val="24"/>
          <w:shd w:val="clear" w:color="auto" w:fill="FFFFFF"/>
          <w:lang w:val="en-US"/>
        </w:rPr>
        <w:t xml:space="preserve"> of the modern development of the international stock market is substantiated. The role and value of stock exchanges in the international environment are defined. The influence of globalization processes on the development of international stock exchanges is studied.</w:t>
      </w:r>
    </w:p>
    <w:p w:rsidR="00835BD8" w:rsidRPr="00484952" w:rsidRDefault="00835BD8" w:rsidP="00FD1862">
      <w:pPr>
        <w:spacing w:after="0" w:line="240" w:lineRule="auto"/>
        <w:ind w:firstLine="709"/>
        <w:jc w:val="both"/>
        <w:rPr>
          <w:bCs/>
          <w:color w:val="222222"/>
          <w:sz w:val="24"/>
          <w:szCs w:val="24"/>
          <w:highlight w:val="green"/>
          <w:shd w:val="clear" w:color="auto" w:fill="FFFFFF"/>
          <w:lang w:val="en-US"/>
        </w:rPr>
      </w:pPr>
      <w:r w:rsidRPr="00484952">
        <w:rPr>
          <w:b/>
          <w:color w:val="222222"/>
          <w:sz w:val="24"/>
          <w:szCs w:val="24"/>
          <w:shd w:val="clear" w:color="auto" w:fill="FFFFFF"/>
          <w:lang w:val="en-US"/>
        </w:rPr>
        <w:t xml:space="preserve">Keywords: </w:t>
      </w:r>
      <w:r w:rsidRPr="00484952">
        <w:rPr>
          <w:bCs/>
          <w:color w:val="222222"/>
          <w:sz w:val="24"/>
          <w:szCs w:val="24"/>
          <w:shd w:val="clear" w:color="auto" w:fill="FFFFFF"/>
          <w:lang w:val="en-US"/>
        </w:rPr>
        <w:t>stock exchange, market capitalization, stock market, globalization, securities.</w:t>
      </w:r>
    </w:p>
    <w:p w:rsidR="00835BD8" w:rsidRPr="00484952" w:rsidRDefault="00835BD8" w:rsidP="00FD1862">
      <w:pPr>
        <w:spacing w:after="0" w:line="240" w:lineRule="auto"/>
        <w:ind w:firstLine="709"/>
        <w:jc w:val="both"/>
        <w:rPr>
          <w:bCs/>
          <w:color w:val="222222"/>
          <w:sz w:val="24"/>
          <w:szCs w:val="24"/>
          <w:shd w:val="clear" w:color="auto" w:fill="FFFFFF"/>
          <w:lang w:val="en-US"/>
        </w:rPr>
      </w:pPr>
    </w:p>
    <w:p w:rsidR="00835BD8" w:rsidRPr="0099646D" w:rsidRDefault="00835BD8" w:rsidP="00FD1862">
      <w:pPr>
        <w:spacing w:after="0" w:line="240" w:lineRule="auto"/>
        <w:ind w:firstLine="720"/>
        <w:jc w:val="both"/>
        <w:rPr>
          <w:sz w:val="24"/>
          <w:szCs w:val="24"/>
        </w:rPr>
      </w:pPr>
      <w:r w:rsidRPr="0099646D">
        <w:rPr>
          <w:sz w:val="24"/>
          <w:szCs w:val="24"/>
        </w:rPr>
        <w:t>Фондова біржа –  це ринок для купівлі та продажу акцій, облігацій та цінних паперів. Фондові біржі можуть бути показником здоров'я національної економіки, і навіть можуть бути ключовим індикатором світової економічної могутності. Це пов'язано з тим, що зростання фондового ринку відповідає вищому рівню життя та рівн</w:t>
      </w:r>
      <w:r>
        <w:rPr>
          <w:sz w:val="24"/>
          <w:szCs w:val="24"/>
        </w:rPr>
        <w:t>ю</w:t>
      </w:r>
      <w:r w:rsidRPr="0099646D">
        <w:rPr>
          <w:sz w:val="24"/>
          <w:szCs w:val="24"/>
        </w:rPr>
        <w:t xml:space="preserve"> зайнятості. Сьогодні спостерігається рекордне зростання числа учасників фондового ринку</w:t>
      </w:r>
      <w:r>
        <w:rPr>
          <w:sz w:val="24"/>
          <w:szCs w:val="24"/>
        </w:rPr>
        <w:t xml:space="preserve">, що можна пояснити </w:t>
      </w:r>
      <w:r w:rsidRPr="0099646D">
        <w:rPr>
          <w:sz w:val="24"/>
          <w:szCs w:val="24"/>
        </w:rPr>
        <w:t>єдиним вектором грошово-кредитної політики всіх країн. На цьому тлі спостерігається вільний приплив капіталу від банківських депозитів на фондовий ринок по всьому світу.</w:t>
      </w:r>
    </w:p>
    <w:p w:rsidR="00835BD8" w:rsidRPr="002E272C" w:rsidRDefault="00835BD8" w:rsidP="00FD1862">
      <w:pPr>
        <w:spacing w:after="0" w:line="240" w:lineRule="auto"/>
        <w:ind w:firstLine="720"/>
        <w:jc w:val="both"/>
        <w:rPr>
          <w:sz w:val="24"/>
          <w:szCs w:val="24"/>
        </w:rPr>
      </w:pPr>
      <w:r w:rsidRPr="002E272C">
        <w:rPr>
          <w:sz w:val="24"/>
          <w:szCs w:val="24"/>
        </w:rPr>
        <w:t xml:space="preserve">Традиційно фондові біржі представляли собою торгові майданчики в кожній країні присутності, але з переходом до електронної торгівлі багато хто перейшов на онлайн-платформи. </w:t>
      </w:r>
    </w:p>
    <w:p w:rsidR="00835BD8" w:rsidRDefault="00835BD8" w:rsidP="00FD1862">
      <w:pPr>
        <w:spacing w:after="0" w:line="240" w:lineRule="auto"/>
        <w:ind w:firstLine="720"/>
        <w:jc w:val="both"/>
        <w:rPr>
          <w:sz w:val="24"/>
          <w:szCs w:val="24"/>
        </w:rPr>
      </w:pPr>
      <w:r w:rsidRPr="002E272C">
        <w:rPr>
          <w:sz w:val="24"/>
          <w:szCs w:val="24"/>
        </w:rPr>
        <w:t>До топ</w:t>
      </w:r>
      <w:r>
        <w:rPr>
          <w:sz w:val="24"/>
          <w:szCs w:val="24"/>
        </w:rPr>
        <w:t>-</w:t>
      </w:r>
      <w:r w:rsidRPr="002E272C">
        <w:rPr>
          <w:sz w:val="24"/>
          <w:szCs w:val="24"/>
        </w:rPr>
        <w:t>10 най</w:t>
      </w:r>
      <w:r>
        <w:rPr>
          <w:sz w:val="24"/>
          <w:szCs w:val="24"/>
        </w:rPr>
        <w:t>більших</w:t>
      </w:r>
      <w:r w:rsidRPr="002E272C">
        <w:rPr>
          <w:sz w:val="24"/>
          <w:szCs w:val="24"/>
        </w:rPr>
        <w:t xml:space="preserve"> фондових бірж </w:t>
      </w:r>
      <w:r>
        <w:rPr>
          <w:sz w:val="24"/>
          <w:szCs w:val="24"/>
        </w:rPr>
        <w:t>в міжнародному середовищі включає</w:t>
      </w:r>
      <w:r w:rsidRPr="002E272C">
        <w:rPr>
          <w:sz w:val="24"/>
          <w:szCs w:val="24"/>
        </w:rPr>
        <w:t xml:space="preserve">: </w:t>
      </w:r>
    </w:p>
    <w:p w:rsidR="00835BD8" w:rsidRPr="00052AD9" w:rsidRDefault="00835BD8" w:rsidP="00FD1862">
      <w:pPr>
        <w:pStyle w:val="ListParagraph"/>
        <w:numPr>
          <w:ilvl w:val="0"/>
          <w:numId w:val="1"/>
        </w:numPr>
        <w:tabs>
          <w:tab w:val="left" w:pos="993"/>
        </w:tabs>
        <w:spacing w:after="0" w:line="240" w:lineRule="auto"/>
        <w:ind w:left="0" w:firstLine="709"/>
        <w:jc w:val="both"/>
        <w:rPr>
          <w:sz w:val="24"/>
          <w:szCs w:val="24"/>
        </w:rPr>
      </w:pPr>
      <w:r w:rsidRPr="00126C79">
        <w:rPr>
          <w:sz w:val="24"/>
          <w:szCs w:val="24"/>
        </w:rPr>
        <w:t>Нью-Йоркську фондову біржу, яка залишається найбільшою фондовою біржою  у світі з ринково</w:t>
      </w:r>
      <w:r>
        <w:rPr>
          <w:sz w:val="24"/>
          <w:szCs w:val="24"/>
        </w:rPr>
        <w:t>ю</w:t>
      </w:r>
      <w:r w:rsidRPr="00126C79">
        <w:rPr>
          <w:sz w:val="24"/>
          <w:szCs w:val="24"/>
        </w:rPr>
        <w:t xml:space="preserve"> капіталізаці</w:t>
      </w:r>
      <w:r>
        <w:rPr>
          <w:sz w:val="24"/>
          <w:szCs w:val="24"/>
        </w:rPr>
        <w:t>єю</w:t>
      </w:r>
      <w:r w:rsidRPr="00126C79">
        <w:rPr>
          <w:sz w:val="24"/>
          <w:szCs w:val="24"/>
        </w:rPr>
        <w:t xml:space="preserve"> з моменту закінчення Першої світової війни </w:t>
      </w:r>
      <w:r>
        <w:rPr>
          <w:sz w:val="24"/>
          <w:szCs w:val="24"/>
        </w:rPr>
        <w:t xml:space="preserve">– </w:t>
      </w:r>
      <w:r w:rsidRPr="00126C79">
        <w:rPr>
          <w:sz w:val="24"/>
          <w:szCs w:val="24"/>
        </w:rPr>
        <w:t>$23,12 трлн – ц</w:t>
      </w:r>
      <w:r w:rsidRPr="00052AD9">
        <w:rPr>
          <w:sz w:val="24"/>
          <w:szCs w:val="24"/>
        </w:rPr>
        <w:t>е майже 40% загальної вартості світового фондового ринку.</w:t>
      </w:r>
    </w:p>
    <w:p w:rsidR="00835BD8" w:rsidRPr="00052AD9" w:rsidRDefault="00835BD8" w:rsidP="00FD1862">
      <w:pPr>
        <w:spacing w:after="0" w:line="240" w:lineRule="auto"/>
        <w:jc w:val="both"/>
        <w:rPr>
          <w:sz w:val="24"/>
          <w:szCs w:val="24"/>
        </w:rPr>
      </w:pPr>
      <w:r w:rsidRPr="00052AD9">
        <w:rPr>
          <w:sz w:val="24"/>
          <w:szCs w:val="24"/>
          <w:shd w:val="clear" w:color="auto" w:fill="FFFFFF"/>
        </w:rPr>
        <w:t>біржуNASDAQ (</w:t>
      </w:r>
      <w:r w:rsidRPr="00052AD9">
        <w:rPr>
          <w:color w:val="auto"/>
          <w:sz w:val="24"/>
          <w:szCs w:val="24"/>
        </w:rPr>
        <w:fldChar w:fldCharType="begin"/>
      </w:r>
      <w:r w:rsidRPr="00052AD9">
        <w:rPr>
          <w:color w:val="auto"/>
          <w:sz w:val="24"/>
          <w:szCs w:val="24"/>
        </w:rPr>
        <w:instrText>HYPERLINK "https://www.nasdaq.com/"</w:instrText>
      </w:r>
      <w:r w:rsidRPr="00DD0850">
        <w:rPr>
          <w:color w:val="auto"/>
          <w:sz w:val="24"/>
          <w:szCs w:val="24"/>
        </w:rPr>
      </w:r>
      <w:r w:rsidRPr="00052AD9">
        <w:rPr>
          <w:color w:val="auto"/>
          <w:sz w:val="24"/>
          <w:szCs w:val="24"/>
        </w:rPr>
        <w:fldChar w:fldCharType="separate"/>
      </w:r>
      <w:r w:rsidRPr="00052AD9">
        <w:rPr>
          <w:color w:val="auto"/>
          <w:sz w:val="24"/>
          <w:szCs w:val="24"/>
          <w:shd w:val="clear" w:color="auto" w:fill="FFFFFF"/>
        </w:rPr>
        <w:t>Nasdaq: Stock Market, Data Updates, Reports &amp; News)</w:t>
      </w:r>
      <w:r w:rsidRPr="00052AD9">
        <w:rPr>
          <w:sz w:val="24"/>
          <w:szCs w:val="24"/>
          <w:shd w:val="clear" w:color="auto" w:fill="FFFFFF"/>
        </w:rPr>
        <w:t>, ринкова капіталізація якої досягла $10,93 трлн.</w:t>
      </w:r>
      <w:r w:rsidRPr="00052AD9">
        <w:rPr>
          <w:sz w:val="24"/>
          <w:szCs w:val="24"/>
        </w:rPr>
        <w:t xml:space="preserve"> До найбільших компаній, які котируються на NASDAQ, належать Apple (APPL), Microsoft (MSFT), Facebook (FB) і Tesla (TSLA);</w:t>
      </w:r>
    </w:p>
    <w:p w:rsidR="00835BD8" w:rsidRDefault="00835BD8" w:rsidP="00FD1862">
      <w:pPr>
        <w:spacing w:after="0" w:line="240" w:lineRule="auto"/>
        <w:ind w:firstLine="709"/>
        <w:jc w:val="both"/>
        <w:rPr>
          <w:sz w:val="24"/>
          <w:szCs w:val="24"/>
        </w:rPr>
      </w:pPr>
      <w:r w:rsidRPr="00052AD9">
        <w:rPr>
          <w:color w:val="auto"/>
          <w:sz w:val="24"/>
          <w:szCs w:val="24"/>
        </w:rPr>
        <w:fldChar w:fldCharType="end"/>
      </w:r>
      <w:r>
        <w:rPr>
          <w:color w:val="auto"/>
          <w:sz w:val="24"/>
          <w:szCs w:val="24"/>
        </w:rPr>
        <w:t>- Т</w:t>
      </w:r>
      <w:r w:rsidRPr="00E648DF">
        <w:rPr>
          <w:sz w:val="24"/>
          <w:szCs w:val="24"/>
        </w:rPr>
        <w:t>окійськ</w:t>
      </w:r>
      <w:r>
        <w:rPr>
          <w:sz w:val="24"/>
          <w:szCs w:val="24"/>
        </w:rPr>
        <w:t>у</w:t>
      </w:r>
      <w:r w:rsidRPr="00E648DF">
        <w:rPr>
          <w:sz w:val="24"/>
          <w:szCs w:val="24"/>
        </w:rPr>
        <w:t xml:space="preserve"> фондов</w:t>
      </w:r>
      <w:r>
        <w:rPr>
          <w:sz w:val="24"/>
          <w:szCs w:val="24"/>
        </w:rPr>
        <w:t>у</w:t>
      </w:r>
      <w:r w:rsidRPr="00E648DF">
        <w:rPr>
          <w:sz w:val="24"/>
          <w:szCs w:val="24"/>
        </w:rPr>
        <w:t xml:space="preserve"> бірж</w:t>
      </w:r>
      <w:r>
        <w:rPr>
          <w:sz w:val="24"/>
          <w:szCs w:val="24"/>
        </w:rPr>
        <w:t>у</w:t>
      </w:r>
      <w:r w:rsidRPr="00E648DF">
        <w:rPr>
          <w:sz w:val="24"/>
          <w:szCs w:val="24"/>
        </w:rPr>
        <w:t xml:space="preserve"> (TSE), на якій зареєстровано понад 3575 компаній, внаслідок чого ринкова капіталізація TSE досягла </w:t>
      </w:r>
      <w:r w:rsidRPr="00126C79">
        <w:rPr>
          <w:sz w:val="24"/>
          <w:szCs w:val="24"/>
          <w:shd w:val="clear" w:color="auto" w:fill="FFFFFF"/>
        </w:rPr>
        <w:t>$</w:t>
      </w:r>
      <w:r w:rsidRPr="00E648DF">
        <w:rPr>
          <w:sz w:val="24"/>
          <w:szCs w:val="24"/>
        </w:rPr>
        <w:t>6,22 трил</w:t>
      </w:r>
      <w:r>
        <w:rPr>
          <w:sz w:val="24"/>
          <w:szCs w:val="24"/>
        </w:rPr>
        <w:t>н</w:t>
      </w:r>
      <w:r w:rsidRPr="00E648DF">
        <w:rPr>
          <w:sz w:val="24"/>
          <w:szCs w:val="24"/>
        </w:rPr>
        <w:t>.</w:t>
      </w:r>
      <w:r>
        <w:rPr>
          <w:sz w:val="24"/>
          <w:szCs w:val="24"/>
        </w:rPr>
        <w:t>;</w:t>
      </w:r>
    </w:p>
    <w:p w:rsidR="00835BD8" w:rsidRDefault="00835BD8" w:rsidP="00FD1862">
      <w:pPr>
        <w:pStyle w:val="ListParagraph"/>
        <w:numPr>
          <w:ilvl w:val="0"/>
          <w:numId w:val="1"/>
        </w:numPr>
        <w:tabs>
          <w:tab w:val="left" w:pos="993"/>
        </w:tabs>
        <w:spacing w:after="0" w:line="240" w:lineRule="auto"/>
        <w:ind w:left="0" w:firstLine="709"/>
        <w:jc w:val="both"/>
        <w:rPr>
          <w:sz w:val="24"/>
          <w:szCs w:val="24"/>
        </w:rPr>
      </w:pPr>
      <w:r w:rsidRPr="00E648DF">
        <w:rPr>
          <w:sz w:val="24"/>
          <w:szCs w:val="24"/>
        </w:rPr>
        <w:t>Шанхайськ</w:t>
      </w:r>
      <w:r>
        <w:rPr>
          <w:sz w:val="24"/>
          <w:szCs w:val="24"/>
        </w:rPr>
        <w:t>у</w:t>
      </w:r>
      <w:r w:rsidRPr="00E648DF">
        <w:rPr>
          <w:sz w:val="24"/>
          <w:szCs w:val="24"/>
        </w:rPr>
        <w:t xml:space="preserve"> фондов</w:t>
      </w:r>
      <w:r>
        <w:rPr>
          <w:sz w:val="24"/>
          <w:szCs w:val="24"/>
        </w:rPr>
        <w:t>у</w:t>
      </w:r>
      <w:r w:rsidRPr="00E648DF">
        <w:rPr>
          <w:sz w:val="24"/>
          <w:szCs w:val="24"/>
        </w:rPr>
        <w:t xml:space="preserve"> бірж</w:t>
      </w:r>
      <w:r>
        <w:rPr>
          <w:sz w:val="24"/>
          <w:szCs w:val="24"/>
        </w:rPr>
        <w:t>у</w:t>
      </w:r>
      <w:r w:rsidRPr="00E648DF">
        <w:rPr>
          <w:sz w:val="24"/>
          <w:szCs w:val="24"/>
        </w:rPr>
        <w:t xml:space="preserve"> (SSE)</w:t>
      </w:r>
      <w:r>
        <w:rPr>
          <w:sz w:val="24"/>
          <w:szCs w:val="24"/>
        </w:rPr>
        <w:t xml:space="preserve">, </w:t>
      </w:r>
      <w:r w:rsidRPr="00E648DF">
        <w:rPr>
          <w:sz w:val="24"/>
          <w:szCs w:val="24"/>
        </w:rPr>
        <w:t xml:space="preserve">ринкова капіталізація </w:t>
      </w:r>
      <w:r>
        <w:rPr>
          <w:sz w:val="24"/>
          <w:szCs w:val="24"/>
        </w:rPr>
        <w:t xml:space="preserve">якої складає </w:t>
      </w:r>
      <w:r w:rsidRPr="00E648DF">
        <w:rPr>
          <w:sz w:val="24"/>
          <w:szCs w:val="24"/>
        </w:rPr>
        <w:t xml:space="preserve"> $5,01 трлн.</w:t>
      </w:r>
      <w:r>
        <w:rPr>
          <w:sz w:val="24"/>
          <w:szCs w:val="24"/>
        </w:rPr>
        <w:t>;</w:t>
      </w:r>
    </w:p>
    <w:p w:rsidR="00835BD8" w:rsidRDefault="00835BD8" w:rsidP="00FD1862">
      <w:pPr>
        <w:pStyle w:val="ListParagraph"/>
        <w:numPr>
          <w:ilvl w:val="0"/>
          <w:numId w:val="1"/>
        </w:numPr>
        <w:tabs>
          <w:tab w:val="left" w:pos="993"/>
        </w:tabs>
        <w:spacing w:after="0" w:line="240" w:lineRule="auto"/>
        <w:ind w:left="0" w:firstLine="709"/>
        <w:jc w:val="both"/>
        <w:rPr>
          <w:sz w:val="24"/>
          <w:szCs w:val="24"/>
        </w:rPr>
      </w:pPr>
      <w:r w:rsidRPr="00E648DF">
        <w:rPr>
          <w:sz w:val="24"/>
          <w:szCs w:val="24"/>
        </w:rPr>
        <w:t>Гонкон</w:t>
      </w:r>
      <w:r>
        <w:rPr>
          <w:sz w:val="24"/>
          <w:szCs w:val="24"/>
        </w:rPr>
        <w:t>г</w:t>
      </w:r>
      <w:r w:rsidRPr="00E648DF">
        <w:rPr>
          <w:sz w:val="24"/>
          <w:szCs w:val="24"/>
        </w:rPr>
        <w:t xml:space="preserve">ська фондова біржа (SEHK) є третьою за величиною фондовою біржою в Азії та п'ятою за величиною у світі з ринковою капіталізацією в </w:t>
      </w:r>
      <w:r w:rsidRPr="00126C79">
        <w:rPr>
          <w:sz w:val="24"/>
          <w:szCs w:val="24"/>
          <w:shd w:val="clear" w:color="auto" w:fill="FFFFFF"/>
        </w:rPr>
        <w:t>$</w:t>
      </w:r>
      <w:r w:rsidRPr="00E648DF">
        <w:rPr>
          <w:sz w:val="24"/>
          <w:szCs w:val="24"/>
        </w:rPr>
        <w:t>4,46 трил</w:t>
      </w:r>
      <w:r>
        <w:rPr>
          <w:sz w:val="24"/>
          <w:szCs w:val="24"/>
        </w:rPr>
        <w:t>н.;</w:t>
      </w:r>
    </w:p>
    <w:p w:rsidR="00835BD8" w:rsidRDefault="00835BD8" w:rsidP="00FD1862">
      <w:pPr>
        <w:pStyle w:val="ListParagraph"/>
        <w:numPr>
          <w:ilvl w:val="0"/>
          <w:numId w:val="1"/>
        </w:numPr>
        <w:tabs>
          <w:tab w:val="left" w:pos="993"/>
        </w:tabs>
        <w:spacing w:after="0" w:line="240" w:lineRule="auto"/>
        <w:ind w:left="0" w:firstLine="709"/>
        <w:jc w:val="both"/>
        <w:rPr>
          <w:sz w:val="24"/>
          <w:szCs w:val="24"/>
        </w:rPr>
      </w:pPr>
      <w:r w:rsidRPr="00E648DF">
        <w:rPr>
          <w:sz w:val="24"/>
          <w:szCs w:val="24"/>
        </w:rPr>
        <w:t>Лондонська фондова біржа (LSE)</w:t>
      </w:r>
      <w:r>
        <w:rPr>
          <w:sz w:val="24"/>
          <w:szCs w:val="24"/>
        </w:rPr>
        <w:t>,</w:t>
      </w:r>
      <w:r w:rsidRPr="00E648DF">
        <w:rPr>
          <w:sz w:val="24"/>
          <w:szCs w:val="24"/>
        </w:rPr>
        <w:t xml:space="preserve"> на якій представлено понад 3000 компаній із 70</w:t>
      </w:r>
      <w:r>
        <w:rPr>
          <w:sz w:val="24"/>
          <w:szCs w:val="24"/>
        </w:rPr>
        <w:t> </w:t>
      </w:r>
      <w:r w:rsidRPr="00E648DF">
        <w:rPr>
          <w:sz w:val="24"/>
          <w:szCs w:val="24"/>
        </w:rPr>
        <w:t xml:space="preserve">країн. </w:t>
      </w:r>
      <w:r>
        <w:rPr>
          <w:sz w:val="24"/>
          <w:szCs w:val="24"/>
        </w:rPr>
        <w:t>Її р</w:t>
      </w:r>
      <w:r w:rsidRPr="00E648DF">
        <w:rPr>
          <w:sz w:val="24"/>
          <w:szCs w:val="24"/>
        </w:rPr>
        <w:t xml:space="preserve">инкова капіталізація становила </w:t>
      </w:r>
      <w:r w:rsidRPr="00126C79">
        <w:rPr>
          <w:sz w:val="24"/>
          <w:szCs w:val="24"/>
          <w:shd w:val="clear" w:color="auto" w:fill="FFFFFF"/>
        </w:rPr>
        <w:t>$</w:t>
      </w:r>
      <w:r w:rsidRPr="00E648DF">
        <w:rPr>
          <w:sz w:val="24"/>
          <w:szCs w:val="24"/>
        </w:rPr>
        <w:t>4,38 трил</w:t>
      </w:r>
      <w:r>
        <w:rPr>
          <w:sz w:val="24"/>
          <w:szCs w:val="24"/>
        </w:rPr>
        <w:t>н</w:t>
      </w:r>
      <w:r w:rsidRPr="00E648DF">
        <w:rPr>
          <w:sz w:val="24"/>
          <w:szCs w:val="24"/>
        </w:rPr>
        <w:t>.</w:t>
      </w:r>
      <w:r>
        <w:rPr>
          <w:sz w:val="24"/>
          <w:szCs w:val="24"/>
        </w:rPr>
        <w:t>;</w:t>
      </w:r>
    </w:p>
    <w:p w:rsidR="00835BD8" w:rsidRDefault="00835BD8" w:rsidP="00FD1862">
      <w:pPr>
        <w:pStyle w:val="ListParagraph"/>
        <w:numPr>
          <w:ilvl w:val="0"/>
          <w:numId w:val="1"/>
        </w:numPr>
        <w:tabs>
          <w:tab w:val="left" w:pos="993"/>
        </w:tabs>
        <w:spacing w:after="0" w:line="240" w:lineRule="auto"/>
        <w:ind w:left="0" w:firstLine="709"/>
        <w:jc w:val="both"/>
        <w:rPr>
          <w:sz w:val="24"/>
          <w:szCs w:val="24"/>
        </w:rPr>
      </w:pPr>
      <w:r w:rsidRPr="009246A0">
        <w:rPr>
          <w:sz w:val="24"/>
          <w:szCs w:val="24"/>
        </w:rPr>
        <w:t xml:space="preserve">Фондова біржа Euronext сьома за величиною фондова біржа у світі з ринковою капіталізацією </w:t>
      </w:r>
      <w:r w:rsidRPr="00126C79">
        <w:rPr>
          <w:sz w:val="24"/>
          <w:szCs w:val="24"/>
          <w:shd w:val="clear" w:color="auto" w:fill="FFFFFF"/>
        </w:rPr>
        <w:t>$</w:t>
      </w:r>
      <w:r w:rsidRPr="009246A0">
        <w:rPr>
          <w:sz w:val="24"/>
          <w:szCs w:val="24"/>
        </w:rPr>
        <w:t>4,36 трил</w:t>
      </w:r>
      <w:r>
        <w:rPr>
          <w:sz w:val="24"/>
          <w:szCs w:val="24"/>
        </w:rPr>
        <w:t>н</w:t>
      </w:r>
      <w:r w:rsidRPr="009246A0">
        <w:rPr>
          <w:sz w:val="24"/>
          <w:szCs w:val="24"/>
        </w:rPr>
        <w:t>. На біржі зареєстровано 1300 компаній та 30 фондових індексів</w:t>
      </w:r>
      <w:r>
        <w:rPr>
          <w:sz w:val="24"/>
          <w:szCs w:val="24"/>
        </w:rPr>
        <w:t>;</w:t>
      </w:r>
    </w:p>
    <w:p w:rsidR="00835BD8" w:rsidRDefault="00835BD8" w:rsidP="00FD1862">
      <w:pPr>
        <w:pStyle w:val="ListParagraph"/>
        <w:numPr>
          <w:ilvl w:val="0"/>
          <w:numId w:val="1"/>
        </w:numPr>
        <w:tabs>
          <w:tab w:val="left" w:pos="993"/>
        </w:tabs>
        <w:spacing w:after="0" w:line="240" w:lineRule="auto"/>
        <w:ind w:left="0" w:firstLine="709"/>
        <w:jc w:val="both"/>
        <w:rPr>
          <w:sz w:val="24"/>
          <w:szCs w:val="24"/>
        </w:rPr>
      </w:pPr>
      <w:r w:rsidRPr="009246A0">
        <w:rPr>
          <w:sz w:val="24"/>
          <w:szCs w:val="24"/>
        </w:rPr>
        <w:t>Шеньчженьська фондова біржа (SZSE), ринкова капіталізація якої склала $3,49</w:t>
      </w:r>
      <w:r>
        <w:rPr>
          <w:sz w:val="24"/>
          <w:szCs w:val="24"/>
        </w:rPr>
        <w:t> </w:t>
      </w:r>
      <w:r w:rsidRPr="009246A0">
        <w:rPr>
          <w:sz w:val="24"/>
          <w:szCs w:val="24"/>
        </w:rPr>
        <w:t>трлн, що зробило її восьмою за величиною фондовою біржою у світі.</w:t>
      </w:r>
    </w:p>
    <w:p w:rsidR="00835BD8" w:rsidRDefault="00835BD8" w:rsidP="00FD1862">
      <w:pPr>
        <w:pStyle w:val="ListParagraph"/>
        <w:numPr>
          <w:ilvl w:val="0"/>
          <w:numId w:val="1"/>
        </w:numPr>
        <w:tabs>
          <w:tab w:val="left" w:pos="993"/>
        </w:tabs>
        <w:spacing w:after="0" w:line="240" w:lineRule="auto"/>
        <w:ind w:left="0" w:firstLine="709"/>
        <w:jc w:val="both"/>
        <w:rPr>
          <w:sz w:val="24"/>
          <w:szCs w:val="24"/>
        </w:rPr>
      </w:pPr>
      <w:r w:rsidRPr="009246A0">
        <w:rPr>
          <w:sz w:val="24"/>
          <w:szCs w:val="24"/>
        </w:rPr>
        <w:t xml:space="preserve">Фондова біржа Торонто (TSX) є третьою за величиною фондовою біржою в Північній Америці з ринкової капіталізаціїта дев'ятою за величиною у світі. </w:t>
      </w:r>
      <w:r>
        <w:rPr>
          <w:sz w:val="24"/>
          <w:szCs w:val="24"/>
        </w:rPr>
        <w:t>Показник ринкової капіталізації цієї біржі склав</w:t>
      </w:r>
      <w:r w:rsidRPr="009246A0">
        <w:rPr>
          <w:sz w:val="24"/>
          <w:szCs w:val="24"/>
          <w:shd w:val="clear" w:color="auto" w:fill="FFFFFF"/>
        </w:rPr>
        <w:t>$</w:t>
      </w:r>
      <w:r w:rsidRPr="009246A0">
        <w:rPr>
          <w:sz w:val="24"/>
          <w:szCs w:val="24"/>
        </w:rPr>
        <w:t>2,29 трилн.</w:t>
      </w:r>
      <w:r>
        <w:rPr>
          <w:sz w:val="24"/>
          <w:szCs w:val="24"/>
        </w:rPr>
        <w:t>;</w:t>
      </w:r>
    </w:p>
    <w:p w:rsidR="00835BD8" w:rsidRPr="00984EA4" w:rsidRDefault="00835BD8" w:rsidP="00FD1862">
      <w:pPr>
        <w:pStyle w:val="ListParagraph"/>
        <w:numPr>
          <w:ilvl w:val="0"/>
          <w:numId w:val="1"/>
        </w:numPr>
        <w:tabs>
          <w:tab w:val="left" w:pos="993"/>
        </w:tabs>
        <w:spacing w:after="0" w:line="240" w:lineRule="auto"/>
        <w:ind w:left="0" w:firstLine="709"/>
        <w:jc w:val="both"/>
        <w:rPr>
          <w:sz w:val="24"/>
          <w:szCs w:val="24"/>
        </w:rPr>
      </w:pPr>
      <w:r w:rsidRPr="00984EA4">
        <w:rPr>
          <w:sz w:val="24"/>
          <w:szCs w:val="24"/>
        </w:rPr>
        <w:t>Франкфуртська фондова біржа (FWB), ринкова капіталізація якої становила $2,22</w:t>
      </w:r>
      <w:r>
        <w:rPr>
          <w:sz w:val="24"/>
          <w:szCs w:val="24"/>
        </w:rPr>
        <w:t> </w:t>
      </w:r>
      <w:r w:rsidRPr="00984EA4">
        <w:rPr>
          <w:sz w:val="24"/>
          <w:szCs w:val="24"/>
        </w:rPr>
        <w:t>трлн</w:t>
      </w:r>
      <w:r>
        <w:rPr>
          <w:sz w:val="24"/>
          <w:szCs w:val="24"/>
        </w:rPr>
        <w:t>.</w:t>
      </w:r>
    </w:p>
    <w:p w:rsidR="00835BD8" w:rsidRPr="0099646D" w:rsidRDefault="00835BD8" w:rsidP="00FD1862">
      <w:pPr>
        <w:spacing w:after="0" w:line="240" w:lineRule="auto"/>
        <w:ind w:firstLine="720"/>
        <w:jc w:val="both"/>
        <w:rPr>
          <w:sz w:val="24"/>
          <w:szCs w:val="24"/>
        </w:rPr>
      </w:pPr>
      <w:r w:rsidRPr="0099646D">
        <w:rPr>
          <w:sz w:val="24"/>
          <w:szCs w:val="24"/>
        </w:rPr>
        <w:t>Сьогодні створено найбільші у світі центри торгівлі цінними паперами (облігаціями, іноземними та національними акціями)</w:t>
      </w:r>
      <w:r>
        <w:rPr>
          <w:sz w:val="24"/>
          <w:szCs w:val="24"/>
        </w:rPr>
        <w:t>, зокрема, з торгівлі</w:t>
      </w:r>
      <w:r w:rsidRPr="0099646D">
        <w:rPr>
          <w:sz w:val="24"/>
          <w:szCs w:val="24"/>
        </w:rPr>
        <w:t>:</w:t>
      </w:r>
    </w:p>
    <w:p w:rsidR="00835BD8" w:rsidRPr="0099646D" w:rsidRDefault="00835BD8" w:rsidP="00FD1862">
      <w:pPr>
        <w:spacing w:after="0" w:line="240" w:lineRule="auto"/>
        <w:ind w:firstLine="720"/>
        <w:jc w:val="both"/>
        <w:rPr>
          <w:sz w:val="24"/>
          <w:szCs w:val="24"/>
        </w:rPr>
      </w:pPr>
      <w:r w:rsidRPr="0099646D">
        <w:rPr>
          <w:sz w:val="24"/>
          <w:szCs w:val="24"/>
        </w:rPr>
        <w:t>- облігаці</w:t>
      </w:r>
      <w:r>
        <w:rPr>
          <w:sz w:val="24"/>
          <w:szCs w:val="24"/>
        </w:rPr>
        <w:t xml:space="preserve">ями відзначаються біржі </w:t>
      </w:r>
      <w:r w:rsidRPr="0099646D">
        <w:rPr>
          <w:sz w:val="24"/>
          <w:szCs w:val="24"/>
        </w:rPr>
        <w:t>Великобритані</w:t>
      </w:r>
      <w:r>
        <w:rPr>
          <w:sz w:val="24"/>
          <w:szCs w:val="24"/>
        </w:rPr>
        <w:t>ї</w:t>
      </w:r>
      <w:r w:rsidRPr="0099646D">
        <w:rPr>
          <w:sz w:val="24"/>
          <w:szCs w:val="24"/>
        </w:rPr>
        <w:t>, Німеччин</w:t>
      </w:r>
      <w:r>
        <w:rPr>
          <w:sz w:val="24"/>
          <w:szCs w:val="24"/>
        </w:rPr>
        <w:t>и</w:t>
      </w:r>
      <w:r w:rsidRPr="0099646D">
        <w:rPr>
          <w:sz w:val="24"/>
          <w:szCs w:val="24"/>
        </w:rPr>
        <w:t>, Швеці</w:t>
      </w:r>
      <w:r>
        <w:rPr>
          <w:sz w:val="24"/>
          <w:szCs w:val="24"/>
        </w:rPr>
        <w:t>ї</w:t>
      </w:r>
      <w:r w:rsidRPr="0099646D">
        <w:rPr>
          <w:sz w:val="24"/>
          <w:szCs w:val="24"/>
        </w:rPr>
        <w:t>, Франці</w:t>
      </w:r>
      <w:r>
        <w:rPr>
          <w:sz w:val="24"/>
          <w:szCs w:val="24"/>
        </w:rPr>
        <w:t>ї</w:t>
      </w:r>
      <w:r w:rsidRPr="0099646D">
        <w:rPr>
          <w:sz w:val="24"/>
          <w:szCs w:val="24"/>
        </w:rPr>
        <w:t>, Італі</w:t>
      </w:r>
      <w:r>
        <w:rPr>
          <w:sz w:val="24"/>
          <w:szCs w:val="24"/>
        </w:rPr>
        <w:t>ї</w:t>
      </w:r>
      <w:r w:rsidRPr="0099646D">
        <w:rPr>
          <w:sz w:val="24"/>
          <w:szCs w:val="24"/>
        </w:rPr>
        <w:t>, Дані</w:t>
      </w:r>
      <w:r>
        <w:rPr>
          <w:sz w:val="24"/>
          <w:szCs w:val="24"/>
        </w:rPr>
        <w:t>ї</w:t>
      </w:r>
      <w:r w:rsidRPr="0099646D">
        <w:rPr>
          <w:sz w:val="24"/>
          <w:szCs w:val="24"/>
        </w:rPr>
        <w:t>;</w:t>
      </w:r>
    </w:p>
    <w:p w:rsidR="00835BD8" w:rsidRPr="0099646D" w:rsidRDefault="00835BD8" w:rsidP="00FD1862">
      <w:pPr>
        <w:spacing w:after="0" w:line="240" w:lineRule="auto"/>
        <w:ind w:firstLine="720"/>
        <w:jc w:val="both"/>
        <w:rPr>
          <w:sz w:val="24"/>
          <w:szCs w:val="24"/>
        </w:rPr>
      </w:pPr>
      <w:r w:rsidRPr="0099646D">
        <w:rPr>
          <w:sz w:val="24"/>
          <w:szCs w:val="24"/>
        </w:rPr>
        <w:t xml:space="preserve">- </w:t>
      </w:r>
      <w:r>
        <w:rPr>
          <w:sz w:val="24"/>
          <w:szCs w:val="24"/>
        </w:rPr>
        <w:t>н</w:t>
      </w:r>
      <w:r w:rsidRPr="0099646D">
        <w:rPr>
          <w:sz w:val="24"/>
          <w:szCs w:val="24"/>
        </w:rPr>
        <w:t>аціональн</w:t>
      </w:r>
      <w:r>
        <w:rPr>
          <w:sz w:val="24"/>
          <w:szCs w:val="24"/>
        </w:rPr>
        <w:t>ими</w:t>
      </w:r>
      <w:r w:rsidRPr="0099646D">
        <w:rPr>
          <w:sz w:val="24"/>
          <w:szCs w:val="24"/>
        </w:rPr>
        <w:t xml:space="preserve"> акці</w:t>
      </w:r>
      <w:r>
        <w:rPr>
          <w:sz w:val="24"/>
          <w:szCs w:val="24"/>
        </w:rPr>
        <w:t xml:space="preserve">ями– біржі </w:t>
      </w:r>
      <w:r w:rsidRPr="0099646D">
        <w:rPr>
          <w:sz w:val="24"/>
          <w:szCs w:val="24"/>
        </w:rPr>
        <w:t>Великобритані</w:t>
      </w:r>
      <w:r>
        <w:rPr>
          <w:sz w:val="24"/>
          <w:szCs w:val="24"/>
        </w:rPr>
        <w:t>ї</w:t>
      </w:r>
      <w:r w:rsidRPr="0099646D">
        <w:rPr>
          <w:sz w:val="24"/>
          <w:szCs w:val="24"/>
        </w:rPr>
        <w:t>, Німеччин</w:t>
      </w:r>
      <w:r>
        <w:rPr>
          <w:sz w:val="24"/>
          <w:szCs w:val="24"/>
        </w:rPr>
        <w:t>и</w:t>
      </w:r>
      <w:r w:rsidRPr="0099646D">
        <w:rPr>
          <w:sz w:val="24"/>
          <w:szCs w:val="24"/>
        </w:rPr>
        <w:t>, США і Японі</w:t>
      </w:r>
      <w:r>
        <w:rPr>
          <w:sz w:val="24"/>
          <w:szCs w:val="24"/>
        </w:rPr>
        <w:t>ї</w:t>
      </w:r>
      <w:r w:rsidRPr="0099646D">
        <w:rPr>
          <w:sz w:val="24"/>
          <w:szCs w:val="24"/>
        </w:rPr>
        <w:t>;</w:t>
      </w:r>
    </w:p>
    <w:p w:rsidR="00835BD8" w:rsidRPr="0099646D" w:rsidRDefault="00835BD8" w:rsidP="00FD1862">
      <w:pPr>
        <w:spacing w:after="0" w:line="240" w:lineRule="auto"/>
        <w:ind w:firstLine="720"/>
        <w:jc w:val="both"/>
        <w:rPr>
          <w:sz w:val="24"/>
          <w:szCs w:val="24"/>
        </w:rPr>
      </w:pPr>
      <w:r w:rsidRPr="0099646D">
        <w:rPr>
          <w:sz w:val="24"/>
          <w:szCs w:val="24"/>
        </w:rPr>
        <w:t>- іноземн</w:t>
      </w:r>
      <w:r>
        <w:rPr>
          <w:sz w:val="24"/>
          <w:szCs w:val="24"/>
        </w:rPr>
        <w:t>ими</w:t>
      </w:r>
      <w:r w:rsidRPr="0099646D">
        <w:rPr>
          <w:sz w:val="24"/>
          <w:szCs w:val="24"/>
        </w:rPr>
        <w:t xml:space="preserve"> акці</w:t>
      </w:r>
      <w:r>
        <w:rPr>
          <w:sz w:val="24"/>
          <w:szCs w:val="24"/>
        </w:rPr>
        <w:t xml:space="preserve">ями–біржа </w:t>
      </w:r>
      <w:r w:rsidRPr="0099646D">
        <w:rPr>
          <w:sz w:val="24"/>
          <w:szCs w:val="24"/>
        </w:rPr>
        <w:t>Великобритані</w:t>
      </w:r>
      <w:r>
        <w:rPr>
          <w:sz w:val="24"/>
          <w:szCs w:val="24"/>
        </w:rPr>
        <w:t>ї</w:t>
      </w:r>
      <w:r w:rsidRPr="0099646D">
        <w:rPr>
          <w:sz w:val="24"/>
          <w:szCs w:val="24"/>
        </w:rPr>
        <w:t>.</w:t>
      </w:r>
    </w:p>
    <w:p w:rsidR="00835BD8" w:rsidRPr="0099646D" w:rsidRDefault="00835BD8" w:rsidP="00FD1862">
      <w:pPr>
        <w:spacing w:after="0" w:line="240" w:lineRule="auto"/>
        <w:ind w:firstLine="720"/>
        <w:jc w:val="both"/>
        <w:rPr>
          <w:sz w:val="24"/>
          <w:szCs w:val="24"/>
        </w:rPr>
      </w:pPr>
      <w:bookmarkStart w:id="1" w:name="_Hlk152440171"/>
      <w:r w:rsidRPr="0099646D">
        <w:rPr>
          <w:sz w:val="24"/>
          <w:szCs w:val="24"/>
        </w:rPr>
        <w:t>В цілому на 10 найбільших фондових бірж світу припадає близько 77% капіталізації світового фондового ринку, або 65,6 трлн. дол. США. Щоденний обсяг торгів акціями становить понад 5 трлн дол., на частку якого припадає 40% світових продажів, причому 22% припадає виключно на NYSE і NASDAQ</w:t>
      </w:r>
      <w:bookmarkEnd w:id="1"/>
      <w:r w:rsidRPr="0099646D">
        <w:rPr>
          <w:sz w:val="24"/>
          <w:szCs w:val="24"/>
        </w:rPr>
        <w:t xml:space="preserve">. На аукціоні доступні акції 24 000 емітентів.  </w:t>
      </w:r>
    </w:p>
    <w:p w:rsidR="00835BD8" w:rsidRPr="0099646D" w:rsidRDefault="00835BD8" w:rsidP="00FD1862">
      <w:pPr>
        <w:spacing w:after="0" w:line="240" w:lineRule="auto"/>
        <w:ind w:firstLine="720"/>
        <w:jc w:val="both"/>
        <w:rPr>
          <w:sz w:val="24"/>
          <w:szCs w:val="24"/>
        </w:rPr>
      </w:pPr>
      <w:r w:rsidRPr="0099646D">
        <w:rPr>
          <w:sz w:val="24"/>
          <w:szCs w:val="24"/>
        </w:rPr>
        <w:t xml:space="preserve">Результати дослідження показали, що в регіоні США, зокрема на біржі NASDAQ, був зафіксований найбільший приріст капіталу за період 2018-2022 рр., відносне відхилення становить 145%, а абсолютна динаміка </w:t>
      </w:r>
      <w:r>
        <w:rPr>
          <w:sz w:val="24"/>
          <w:szCs w:val="24"/>
        </w:rPr>
        <w:t xml:space="preserve">– </w:t>
      </w:r>
      <w:r w:rsidRPr="0099646D">
        <w:rPr>
          <w:sz w:val="24"/>
          <w:szCs w:val="24"/>
        </w:rPr>
        <w:t>11281 млрд дол США. Це вражаючий результат. За нею слідує Нью-Йоркська фондова біржа, незважаючи на відносне відхилення в 34%, її абсолютна динаміка становить 6659 млрд. дол. Це значно вище, ніж на інших біржах. Що стосується Європи, Африки та Близького Сходу, то саме в цих регіонах спостерігалася найкраща динаміка на біржі Euronext. Азіатсько-Тихоокеанський ринок цінних паперів характеризується помірним, але в той же час динамічним зростанням [</w:t>
      </w:r>
      <w:r>
        <w:rPr>
          <w:sz w:val="24"/>
          <w:szCs w:val="24"/>
        </w:rPr>
        <w:t>1</w:t>
      </w:r>
      <w:r w:rsidRPr="0099646D">
        <w:rPr>
          <w:sz w:val="24"/>
          <w:szCs w:val="24"/>
        </w:rPr>
        <w:t>, с. 11]</w:t>
      </w:r>
    </w:p>
    <w:p w:rsidR="00835BD8" w:rsidRPr="0099646D" w:rsidRDefault="00835BD8" w:rsidP="00FD1862">
      <w:pPr>
        <w:spacing w:after="0" w:line="240" w:lineRule="auto"/>
        <w:ind w:firstLine="720"/>
        <w:jc w:val="both"/>
        <w:rPr>
          <w:sz w:val="24"/>
          <w:szCs w:val="24"/>
        </w:rPr>
      </w:pPr>
      <w:r w:rsidRPr="0099646D">
        <w:rPr>
          <w:sz w:val="24"/>
          <w:szCs w:val="24"/>
        </w:rPr>
        <w:t xml:space="preserve">З кожним роком </w:t>
      </w:r>
      <w:r>
        <w:rPr>
          <w:sz w:val="24"/>
          <w:szCs w:val="24"/>
        </w:rPr>
        <w:t>ф</w:t>
      </w:r>
      <w:r w:rsidRPr="0099646D">
        <w:rPr>
          <w:sz w:val="24"/>
          <w:szCs w:val="24"/>
        </w:rPr>
        <w:t>ондовий ринок відіграє все більшу роль у забезпеченні ефективного функціонування економічної системи окремої країни і світової економіки в цілому. Поява нових технологій управління фінансовим капіталом створює додаткові можливості для отримання прибутку як для приватних інвесторів, так і для держав. Це підвищує роль і цінність фондових бірж в системі ринкових відносин, що визначається наступними факторами [</w:t>
      </w:r>
      <w:r>
        <w:rPr>
          <w:sz w:val="24"/>
          <w:szCs w:val="24"/>
        </w:rPr>
        <w:t>2</w:t>
      </w:r>
      <w:r w:rsidRPr="0099646D">
        <w:rPr>
          <w:sz w:val="24"/>
          <w:szCs w:val="24"/>
        </w:rPr>
        <w:t xml:space="preserve">, с. 145-147]: </w:t>
      </w:r>
    </w:p>
    <w:p w:rsidR="00835BD8" w:rsidRPr="0099646D" w:rsidRDefault="00835BD8" w:rsidP="00FD1862">
      <w:pPr>
        <w:spacing w:after="0" w:line="240" w:lineRule="auto"/>
        <w:ind w:firstLine="720"/>
        <w:jc w:val="both"/>
        <w:rPr>
          <w:sz w:val="24"/>
          <w:szCs w:val="24"/>
        </w:rPr>
      </w:pPr>
      <w:r w:rsidRPr="0099646D">
        <w:rPr>
          <w:sz w:val="24"/>
          <w:szCs w:val="24"/>
        </w:rPr>
        <w:t xml:space="preserve">- залучення вільних коштів у вигляді інвестицій для розвитку виробництва; </w:t>
      </w:r>
    </w:p>
    <w:p w:rsidR="00835BD8" w:rsidRPr="0099646D" w:rsidRDefault="00835BD8" w:rsidP="00FD1862">
      <w:pPr>
        <w:spacing w:after="0" w:line="240" w:lineRule="auto"/>
        <w:ind w:firstLine="720"/>
        <w:jc w:val="both"/>
        <w:rPr>
          <w:sz w:val="24"/>
          <w:szCs w:val="24"/>
        </w:rPr>
      </w:pPr>
      <w:r w:rsidRPr="0099646D">
        <w:rPr>
          <w:sz w:val="24"/>
          <w:szCs w:val="24"/>
        </w:rPr>
        <w:t xml:space="preserve">- забезпечення припливу капіталу з застарілих галузей в галузі, які швидко розвиваються; </w:t>
      </w:r>
    </w:p>
    <w:p w:rsidR="00835BD8" w:rsidRPr="0099646D" w:rsidRDefault="00835BD8" w:rsidP="00FD1862">
      <w:pPr>
        <w:spacing w:after="0" w:line="240" w:lineRule="auto"/>
        <w:ind w:firstLine="720"/>
        <w:jc w:val="both"/>
        <w:rPr>
          <w:sz w:val="24"/>
          <w:szCs w:val="24"/>
        </w:rPr>
      </w:pPr>
      <w:r w:rsidRPr="0099646D">
        <w:rPr>
          <w:sz w:val="24"/>
          <w:szCs w:val="24"/>
        </w:rPr>
        <w:t xml:space="preserve">- залучення коштів для покриття дефіциту державних і місцевих бюджетів; </w:t>
      </w:r>
    </w:p>
    <w:p w:rsidR="00835BD8" w:rsidRPr="0099646D" w:rsidRDefault="00835BD8" w:rsidP="00FD1862">
      <w:pPr>
        <w:spacing w:after="0" w:line="240" w:lineRule="auto"/>
        <w:ind w:firstLine="720"/>
        <w:jc w:val="both"/>
        <w:rPr>
          <w:sz w:val="24"/>
          <w:szCs w:val="24"/>
        </w:rPr>
      </w:pPr>
      <w:r w:rsidRPr="0099646D">
        <w:rPr>
          <w:sz w:val="24"/>
          <w:szCs w:val="24"/>
        </w:rPr>
        <w:t xml:space="preserve">- здатність оцінювати стан економіки на основі показників фондового ринку; </w:t>
      </w:r>
    </w:p>
    <w:p w:rsidR="00835BD8" w:rsidRPr="0099646D" w:rsidRDefault="00835BD8" w:rsidP="00FD1862">
      <w:pPr>
        <w:spacing w:after="0" w:line="240" w:lineRule="auto"/>
        <w:ind w:firstLine="720"/>
        <w:jc w:val="both"/>
        <w:rPr>
          <w:sz w:val="24"/>
          <w:szCs w:val="24"/>
        </w:rPr>
      </w:pPr>
      <w:r w:rsidRPr="0099646D">
        <w:rPr>
          <w:sz w:val="24"/>
          <w:szCs w:val="24"/>
        </w:rPr>
        <w:t>- вплив на змін</w:t>
      </w:r>
      <w:r>
        <w:rPr>
          <w:sz w:val="24"/>
          <w:szCs w:val="24"/>
        </w:rPr>
        <w:t>и</w:t>
      </w:r>
      <w:r w:rsidRPr="0099646D">
        <w:rPr>
          <w:sz w:val="24"/>
          <w:szCs w:val="24"/>
        </w:rPr>
        <w:t xml:space="preserve"> рівня інфляції.</w:t>
      </w:r>
    </w:p>
    <w:p w:rsidR="00835BD8" w:rsidRDefault="00835BD8" w:rsidP="00FD1862">
      <w:pPr>
        <w:spacing w:after="0" w:line="240" w:lineRule="auto"/>
        <w:ind w:firstLine="720"/>
        <w:jc w:val="both"/>
        <w:rPr>
          <w:sz w:val="24"/>
          <w:szCs w:val="24"/>
        </w:rPr>
      </w:pPr>
      <w:r w:rsidRPr="0099646D">
        <w:rPr>
          <w:sz w:val="24"/>
          <w:szCs w:val="24"/>
        </w:rPr>
        <w:t xml:space="preserve">Однією з основних тенденцій сучасного міжнародних фондових бірж є закономірність цього етапу економічного розвитку, а саме глобалізація фондових ринків. Інтернаціоналізація економічного життя, яка відбудеться в найближчому майбутньому, призведе до створення глобальної економіки, а у фінансовій сфері </w:t>
      </w:r>
      <w:r>
        <w:rPr>
          <w:sz w:val="24"/>
          <w:szCs w:val="24"/>
        </w:rPr>
        <w:t>–</w:t>
      </w:r>
      <w:r w:rsidRPr="0099646D">
        <w:rPr>
          <w:sz w:val="24"/>
          <w:szCs w:val="24"/>
        </w:rPr>
        <w:t xml:space="preserve"> до глобального фінансового ринку,</w:t>
      </w:r>
      <w:r>
        <w:rPr>
          <w:sz w:val="24"/>
          <w:szCs w:val="24"/>
        </w:rPr>
        <w:t xml:space="preserve"> що, безумовно, спричинить трансформаційні процеси в міжнародних фондових біржах</w:t>
      </w:r>
      <w:r w:rsidRPr="0099646D">
        <w:rPr>
          <w:sz w:val="24"/>
          <w:szCs w:val="24"/>
        </w:rPr>
        <w:t>.</w:t>
      </w:r>
    </w:p>
    <w:p w:rsidR="00835BD8" w:rsidRDefault="00835BD8" w:rsidP="00FD1862">
      <w:pPr>
        <w:spacing w:after="0" w:line="240" w:lineRule="auto"/>
        <w:ind w:firstLine="720"/>
        <w:jc w:val="both"/>
        <w:rPr>
          <w:sz w:val="24"/>
          <w:szCs w:val="24"/>
        </w:rPr>
      </w:pPr>
      <w:r>
        <w:rPr>
          <w:sz w:val="24"/>
          <w:szCs w:val="24"/>
        </w:rPr>
        <w:t xml:space="preserve">Вивчення та адаптація зарубіжного досвіду функціонування міжнародних фондових бірж в Україні, дозволить реанімувати національний фондовий ринок, що сприятиме залученню інвестицій для оновлення української економіки  у повоєнний період. </w:t>
      </w:r>
    </w:p>
    <w:p w:rsidR="00835BD8" w:rsidRPr="004A4B97" w:rsidRDefault="00835BD8" w:rsidP="00FD1862">
      <w:pPr>
        <w:spacing w:after="0" w:line="240" w:lineRule="auto"/>
        <w:contextualSpacing/>
        <w:rPr>
          <w:b/>
          <w:sz w:val="24"/>
          <w:szCs w:val="24"/>
        </w:rPr>
      </w:pPr>
      <w:r w:rsidRPr="004A4B97">
        <w:rPr>
          <w:b/>
          <w:sz w:val="24"/>
          <w:szCs w:val="24"/>
        </w:rPr>
        <w:t>Список літератури</w:t>
      </w:r>
    </w:p>
    <w:p w:rsidR="00835BD8" w:rsidRDefault="00835BD8" w:rsidP="00FD1862">
      <w:pPr>
        <w:pStyle w:val="ListParagraph"/>
        <w:numPr>
          <w:ilvl w:val="0"/>
          <w:numId w:val="2"/>
        </w:numPr>
        <w:spacing w:after="0" w:line="240" w:lineRule="auto"/>
        <w:ind w:left="284" w:hanging="284"/>
        <w:jc w:val="both"/>
        <w:rPr>
          <w:sz w:val="24"/>
          <w:szCs w:val="24"/>
        </w:rPr>
      </w:pPr>
      <w:r w:rsidRPr="003A57F5">
        <w:rPr>
          <w:sz w:val="24"/>
          <w:szCs w:val="24"/>
        </w:rPr>
        <w:t>Бобровник В. М.</w:t>
      </w:r>
      <w:r>
        <w:rPr>
          <w:sz w:val="24"/>
          <w:szCs w:val="24"/>
        </w:rPr>
        <w:t xml:space="preserve">, </w:t>
      </w:r>
      <w:r w:rsidRPr="003A57F5">
        <w:rPr>
          <w:sz w:val="24"/>
          <w:szCs w:val="24"/>
        </w:rPr>
        <w:t>Белінська</w:t>
      </w:r>
      <w:r>
        <w:rPr>
          <w:sz w:val="24"/>
          <w:szCs w:val="24"/>
        </w:rPr>
        <w:t xml:space="preserve"> Я.В.</w:t>
      </w:r>
      <w:r w:rsidRPr="003A57F5">
        <w:rPr>
          <w:sz w:val="24"/>
          <w:szCs w:val="24"/>
        </w:rPr>
        <w:t xml:space="preserve"> Сучасний стан торгівлі цінними паперами насвітовому фондовому ринку</w:t>
      </w:r>
      <w:r>
        <w:rPr>
          <w:sz w:val="24"/>
          <w:szCs w:val="24"/>
        </w:rPr>
        <w:t xml:space="preserve">. </w:t>
      </w:r>
      <w:r w:rsidRPr="003A57F5">
        <w:rPr>
          <w:i/>
          <w:iCs/>
          <w:sz w:val="24"/>
          <w:szCs w:val="24"/>
        </w:rPr>
        <w:t>Інфраструктура ринку</w:t>
      </w:r>
      <w:r>
        <w:rPr>
          <w:sz w:val="24"/>
          <w:szCs w:val="24"/>
        </w:rPr>
        <w:t xml:space="preserve">. </w:t>
      </w:r>
      <w:r w:rsidRPr="003A57F5">
        <w:rPr>
          <w:sz w:val="24"/>
          <w:szCs w:val="24"/>
        </w:rPr>
        <w:t>2022. Вип. 62. С. 10-14.</w:t>
      </w:r>
    </w:p>
    <w:p w:rsidR="00835BD8" w:rsidRPr="00ED3885" w:rsidRDefault="00835BD8" w:rsidP="00FD1862">
      <w:pPr>
        <w:pStyle w:val="ListParagraph"/>
        <w:numPr>
          <w:ilvl w:val="0"/>
          <w:numId w:val="2"/>
        </w:numPr>
        <w:spacing w:after="0" w:line="240" w:lineRule="auto"/>
        <w:ind w:left="284" w:hanging="284"/>
        <w:jc w:val="both"/>
        <w:rPr>
          <w:sz w:val="24"/>
          <w:szCs w:val="24"/>
        </w:rPr>
      </w:pPr>
      <w:r w:rsidRPr="003A57F5">
        <w:rPr>
          <w:sz w:val="24"/>
          <w:szCs w:val="24"/>
        </w:rPr>
        <w:t xml:space="preserve"> Фінансові системи зарубіжних країн: навч. посіб. /Ю. М. Руденко, В. В. Токар.  К.: КНЕУ, 2020. 348 с</w:t>
      </w:r>
      <w:r>
        <w:rPr>
          <w:sz w:val="24"/>
          <w:szCs w:val="24"/>
        </w:rPr>
        <w:t>.</w:t>
      </w:r>
    </w:p>
    <w:p w:rsidR="00835BD8" w:rsidRDefault="00835BD8" w:rsidP="00FD1862">
      <w:pPr>
        <w:spacing w:after="0" w:line="240" w:lineRule="auto"/>
        <w:ind w:firstLine="360"/>
        <w:jc w:val="both"/>
        <w:rPr>
          <w:sz w:val="24"/>
          <w:szCs w:val="24"/>
        </w:rPr>
      </w:pPr>
    </w:p>
    <w:sectPr w:rsidR="00835BD8" w:rsidSect="00DD0850">
      <w:headerReference w:type="even" r:id="rId7"/>
      <w:headerReference w:type="default" r:id="rId8"/>
      <w:footerReference w:type="even" r:id="rId9"/>
      <w:footerReference w:type="default" r:id="rId10"/>
      <w:pgSz w:w="11906" w:h="16838"/>
      <w:pgMar w:top="1134" w:right="850" w:bottom="1134" w:left="1701" w:header="708" w:footer="708" w:gutter="0"/>
      <w:pgNumType w:start="1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BD8" w:rsidRDefault="00835BD8">
      <w:pPr>
        <w:spacing w:after="0" w:line="240" w:lineRule="auto"/>
      </w:pPr>
      <w:r>
        <w:separator/>
      </w:r>
    </w:p>
  </w:endnote>
  <w:endnote w:type="continuationSeparator" w:id="1">
    <w:p w:rsidR="00835BD8" w:rsidRDefault="00835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D8" w:rsidRDefault="00835BD8" w:rsidP="00065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BD8" w:rsidRDefault="00835BD8" w:rsidP="00DD08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D8" w:rsidRDefault="00835BD8" w:rsidP="00065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158</w:t>
    </w:r>
    <w:r>
      <w:rPr>
        <w:rStyle w:val="PageNumber"/>
      </w:rPr>
      <w:fldChar w:fldCharType="end"/>
    </w:r>
  </w:p>
  <w:p w:rsidR="00835BD8" w:rsidRDefault="00835BD8" w:rsidP="00DD08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BD8" w:rsidRDefault="00835BD8">
      <w:pPr>
        <w:spacing w:after="0" w:line="240" w:lineRule="auto"/>
      </w:pPr>
      <w:r>
        <w:separator/>
      </w:r>
    </w:p>
  </w:footnote>
  <w:footnote w:type="continuationSeparator" w:id="1">
    <w:p w:rsidR="00835BD8" w:rsidRDefault="00835B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D8" w:rsidRDefault="00835BD8" w:rsidP="000650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BD8" w:rsidRDefault="00835BD8" w:rsidP="00DD085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D8" w:rsidRPr="00DD0850" w:rsidRDefault="00835BD8" w:rsidP="00DD0850">
    <w:pPr>
      <w:tabs>
        <w:tab w:val="left" w:pos="690"/>
        <w:tab w:val="center" w:pos="4677"/>
        <w:tab w:val="right" w:pos="9355"/>
      </w:tabs>
      <w:ind w:right="360"/>
      <w:rPr>
        <w:sz w:val="22"/>
        <w:lang w:val="ru-RU"/>
      </w:rPr>
    </w:pPr>
    <w:r w:rsidRPr="00DD0850">
      <w:rPr>
        <w:sz w:val="22"/>
      </w:rPr>
      <w:t>Тези доповідей 59-ої конференції молодих дослідників «Сучасні інформаційні технології та телекомунікаційні мережі» // Одеса: НУОП, 2024, вип. 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832"/>
    <w:multiLevelType w:val="hybridMultilevel"/>
    <w:tmpl w:val="06E4B41A"/>
    <w:lvl w:ilvl="0" w:tplc="ACD6FB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2A0639F"/>
    <w:multiLevelType w:val="hybridMultilevel"/>
    <w:tmpl w:val="505C6EAC"/>
    <w:lvl w:ilvl="0" w:tplc="C9A2CE5C">
      <w:start w:val="1"/>
      <w:numFmt w:val="decimal"/>
      <w:lvlText w:val="%1."/>
      <w:lvlJc w:val="left"/>
      <w:pPr>
        <w:ind w:left="720" w:hanging="360"/>
      </w:pPr>
      <w:rPr>
        <w:rFonts w:cs="Times New Roman" w:hint="default"/>
        <w:b w:val="0"/>
        <w:i w:val="0"/>
        <w:sz w:val="24"/>
      </w:rPr>
    </w:lvl>
    <w:lvl w:ilvl="1" w:tplc="68BED68A">
      <w:start w:val="1"/>
      <w:numFmt w:val="decimal"/>
      <w:lvlText w:val="%2."/>
      <w:lvlJc w:val="left"/>
      <w:pPr>
        <w:ind w:left="1440" w:hanging="360"/>
      </w:pPr>
      <w:rPr>
        <w:rFonts w:ascii="Calibri" w:eastAsia="Times New Roman" w:hAnsi="Calibri" w:cs="Calibri"/>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EA74EF3"/>
    <w:multiLevelType w:val="hybridMultilevel"/>
    <w:tmpl w:val="532ACB20"/>
    <w:lvl w:ilvl="0" w:tplc="F9361A88">
      <w:start w:val="2"/>
      <w:numFmt w:val="decimal"/>
      <w:lvlText w:val="крок %1."/>
      <w:lvlJc w:val="left"/>
      <w:pPr>
        <w:ind w:left="720" w:hanging="360"/>
      </w:pPr>
      <w:rPr>
        <w:rFonts w:cs="Times New Roman" w:hint="default"/>
        <w:b w:val="0"/>
        <w:i w:val="0"/>
        <w:color w:val="auto"/>
        <w:sz w:val="24"/>
        <w:szCs w:val="24"/>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nsid w:val="1EBE11EE"/>
    <w:multiLevelType w:val="hybridMultilevel"/>
    <w:tmpl w:val="1AFED4C8"/>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F32F98"/>
    <w:multiLevelType w:val="hybridMultilevel"/>
    <w:tmpl w:val="47F63A5C"/>
    <w:lvl w:ilvl="0" w:tplc="28BABEF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5130CDD"/>
    <w:multiLevelType w:val="hybridMultilevel"/>
    <w:tmpl w:val="B9FA642A"/>
    <w:lvl w:ilvl="0" w:tplc="8C3C5F40">
      <w:start w:val="1"/>
      <w:numFmt w:val="bullet"/>
      <w:lvlText w:val=""/>
      <w:lvlJc w:val="left"/>
      <w:pPr>
        <w:tabs>
          <w:tab w:val="num" w:pos="287"/>
        </w:tabs>
        <w:ind w:left="287" w:hanging="227"/>
      </w:pPr>
      <w:rPr>
        <w:rFonts w:ascii="Symbol" w:hAnsi="Symbol" w:hint="default"/>
      </w:rPr>
    </w:lvl>
    <w:lvl w:ilvl="1" w:tplc="AA8E9CF6">
      <w:numFmt w:val="none"/>
      <w:lvlText w:val=""/>
      <w:lvlJc w:val="left"/>
      <w:pPr>
        <w:tabs>
          <w:tab w:val="num" w:pos="1500"/>
        </w:tabs>
        <w:ind w:left="1500" w:hanging="360"/>
      </w:pPr>
      <w:rPr>
        <w:rFonts w:ascii="Wingdings" w:hAnsi="Wingdings" w:cs="Times New Roman" w:hint="default"/>
        <w:sz w:val="24"/>
      </w:rPr>
    </w:lvl>
    <w:lvl w:ilvl="2" w:tplc="2E668EAC">
      <w:start w:val="1"/>
      <w:numFmt w:val="decimal"/>
      <w:lvlText w:val="крок %3."/>
      <w:lvlJc w:val="left"/>
      <w:pPr>
        <w:tabs>
          <w:tab w:val="num" w:pos="2160"/>
        </w:tabs>
        <w:ind w:left="2160" w:hanging="360"/>
      </w:pPr>
      <w:rPr>
        <w:rFonts w:cs="Times New Roman" w:hint="default"/>
        <w:b w:val="0"/>
        <w:i w:val="0"/>
        <w:color w:val="auto"/>
        <w:sz w:val="24"/>
        <w:szCs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8F52E0"/>
    <w:multiLevelType w:val="hybridMultilevel"/>
    <w:tmpl w:val="4CE8CAEE"/>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E80B8F"/>
    <w:multiLevelType w:val="hybridMultilevel"/>
    <w:tmpl w:val="516614EA"/>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A264E7"/>
    <w:multiLevelType w:val="hybridMultilevel"/>
    <w:tmpl w:val="57328724"/>
    <w:lvl w:ilvl="0" w:tplc="9D020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9710DC"/>
    <w:multiLevelType w:val="hybridMultilevel"/>
    <w:tmpl w:val="059813E2"/>
    <w:lvl w:ilvl="0" w:tplc="B818F862">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422D7FC7"/>
    <w:multiLevelType w:val="hybridMultilevel"/>
    <w:tmpl w:val="48823B94"/>
    <w:lvl w:ilvl="0" w:tplc="0A362950">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1">
    <w:nsid w:val="519518C2"/>
    <w:multiLevelType w:val="hybridMultilevel"/>
    <w:tmpl w:val="5E0A2B14"/>
    <w:lvl w:ilvl="0" w:tplc="92BA628E">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E63DC1"/>
    <w:multiLevelType w:val="hybridMultilevel"/>
    <w:tmpl w:val="918C283C"/>
    <w:lvl w:ilvl="0" w:tplc="0419000F">
      <w:start w:val="1"/>
      <w:numFmt w:val="decimal"/>
      <w:lvlText w:val="%1."/>
      <w:lvlJc w:val="left"/>
      <w:pPr>
        <w:tabs>
          <w:tab w:val="num" w:pos="227"/>
        </w:tabs>
        <w:ind w:left="227" w:hanging="227"/>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4107AF8"/>
    <w:multiLevelType w:val="hybridMultilevel"/>
    <w:tmpl w:val="EA3C900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nsid w:val="64D05BA6"/>
    <w:multiLevelType w:val="hybridMultilevel"/>
    <w:tmpl w:val="832824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ED35E97"/>
    <w:multiLevelType w:val="hybridMultilevel"/>
    <w:tmpl w:val="26BAF816"/>
    <w:lvl w:ilvl="0" w:tplc="8C3C5F40">
      <w:start w:val="1"/>
      <w:numFmt w:val="bullet"/>
      <w:lvlText w:val=""/>
      <w:lvlJc w:val="left"/>
      <w:pPr>
        <w:tabs>
          <w:tab w:val="num" w:pos="287"/>
        </w:tabs>
        <w:ind w:left="287" w:hanging="227"/>
      </w:pPr>
      <w:rPr>
        <w:rFonts w:ascii="Symbol" w:hAnsi="Symbol" w:hint="default"/>
      </w:rPr>
    </w:lvl>
    <w:lvl w:ilvl="1" w:tplc="B818F862">
      <w:start w:val="1"/>
      <w:numFmt w:val="bullet"/>
      <w:lvlText w:val=""/>
      <w:lvlJc w:val="left"/>
      <w:pPr>
        <w:tabs>
          <w:tab w:val="num" w:pos="1500"/>
        </w:tabs>
        <w:ind w:left="1500" w:hanging="360"/>
      </w:pPr>
      <w:rPr>
        <w:rFonts w:ascii="Symbol" w:hAnsi="Symbol" w:hint="default"/>
        <w:sz w:val="24"/>
      </w:rPr>
    </w:lvl>
    <w:lvl w:ilvl="2" w:tplc="2E668EAC">
      <w:start w:val="1"/>
      <w:numFmt w:val="decimal"/>
      <w:lvlText w:val="крок %3."/>
      <w:lvlJc w:val="left"/>
      <w:pPr>
        <w:tabs>
          <w:tab w:val="num" w:pos="2160"/>
        </w:tabs>
        <w:ind w:left="2160" w:hanging="360"/>
      </w:pPr>
      <w:rPr>
        <w:rFonts w:cs="Times New Roman" w:hint="default"/>
        <w:b w:val="0"/>
        <w:i w:val="0"/>
        <w:color w:val="auto"/>
        <w:sz w:val="24"/>
        <w:szCs w:val="24"/>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7B35048"/>
    <w:multiLevelType w:val="hybridMultilevel"/>
    <w:tmpl w:val="55DA20DA"/>
    <w:lvl w:ilvl="0" w:tplc="F67CA334">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E8752C9"/>
    <w:multiLevelType w:val="hybridMultilevel"/>
    <w:tmpl w:val="43243382"/>
    <w:lvl w:ilvl="0" w:tplc="3B08EBF8">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13"/>
  </w:num>
  <w:num w:numId="4">
    <w:abstractNumId w:val="0"/>
  </w:num>
  <w:num w:numId="5">
    <w:abstractNumId w:val="11"/>
  </w:num>
  <w:num w:numId="6">
    <w:abstractNumId w:val="6"/>
  </w:num>
  <w:num w:numId="7">
    <w:abstractNumId w:val="7"/>
  </w:num>
  <w:num w:numId="8">
    <w:abstractNumId w:val="14"/>
  </w:num>
  <w:num w:numId="9">
    <w:abstractNumId w:val="3"/>
  </w:num>
  <w:num w:numId="10">
    <w:abstractNumId w:val="8"/>
  </w:num>
  <w:num w:numId="11">
    <w:abstractNumId w:val="4"/>
  </w:num>
  <w:num w:numId="12">
    <w:abstractNumId w:val="5"/>
  </w:num>
  <w:num w:numId="13">
    <w:abstractNumId w:val="12"/>
  </w:num>
  <w:num w:numId="14">
    <w:abstractNumId w:val="1"/>
  </w:num>
  <w:num w:numId="15">
    <w:abstractNumId w:val="2"/>
  </w:num>
  <w:num w:numId="16">
    <w:abstractNumId w:val="15"/>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127"/>
    <w:rsid w:val="000012E7"/>
    <w:rsid w:val="00052AD9"/>
    <w:rsid w:val="00062BA9"/>
    <w:rsid w:val="00065072"/>
    <w:rsid w:val="00070BE4"/>
    <w:rsid w:val="000823C8"/>
    <w:rsid w:val="00091846"/>
    <w:rsid w:val="000C2561"/>
    <w:rsid w:val="000E196A"/>
    <w:rsid w:val="00126C79"/>
    <w:rsid w:val="00147437"/>
    <w:rsid w:val="00170C02"/>
    <w:rsid w:val="002E272C"/>
    <w:rsid w:val="00371254"/>
    <w:rsid w:val="003916B4"/>
    <w:rsid w:val="003A57F5"/>
    <w:rsid w:val="00442CAD"/>
    <w:rsid w:val="00484952"/>
    <w:rsid w:val="00485A65"/>
    <w:rsid w:val="004A4B97"/>
    <w:rsid w:val="004B7A64"/>
    <w:rsid w:val="004C299C"/>
    <w:rsid w:val="006D6592"/>
    <w:rsid w:val="006E2971"/>
    <w:rsid w:val="006E7087"/>
    <w:rsid w:val="007000D9"/>
    <w:rsid w:val="00702127"/>
    <w:rsid w:val="00744892"/>
    <w:rsid w:val="007819DC"/>
    <w:rsid w:val="00835BD8"/>
    <w:rsid w:val="008A7DA8"/>
    <w:rsid w:val="008D1F9E"/>
    <w:rsid w:val="008E7682"/>
    <w:rsid w:val="009246A0"/>
    <w:rsid w:val="009708DA"/>
    <w:rsid w:val="00984EA4"/>
    <w:rsid w:val="0099646D"/>
    <w:rsid w:val="009B24CF"/>
    <w:rsid w:val="009B77E2"/>
    <w:rsid w:val="009D1806"/>
    <w:rsid w:val="00A707FC"/>
    <w:rsid w:val="00A961C3"/>
    <w:rsid w:val="00AA0E8B"/>
    <w:rsid w:val="00AF3201"/>
    <w:rsid w:val="00AF5203"/>
    <w:rsid w:val="00CC3CFA"/>
    <w:rsid w:val="00DB3144"/>
    <w:rsid w:val="00DD0850"/>
    <w:rsid w:val="00E648DF"/>
    <w:rsid w:val="00EC0897"/>
    <w:rsid w:val="00ED3885"/>
    <w:rsid w:val="00F41221"/>
    <w:rsid w:val="00FD1862"/>
    <w:rsid w:val="00FE51C7"/>
    <w:rsid w:val="00FF0B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71"/>
    <w:pPr>
      <w:spacing w:after="160" w:line="259" w:lineRule="auto"/>
      <w:jc w:val="center"/>
    </w:pPr>
    <w:rPr>
      <w:rFonts w:ascii="Times New Roman" w:hAnsi="Times New Roman"/>
      <w:color w:val="000000"/>
      <w:kern w:val="2"/>
      <w:sz w:val="28"/>
      <w:lang w:val="uk-UA"/>
    </w:rPr>
  </w:style>
  <w:style w:type="paragraph" w:styleId="Heading1">
    <w:name w:val="heading 1"/>
    <w:basedOn w:val="Normal"/>
    <w:link w:val="Heading1Char"/>
    <w:uiPriority w:val="99"/>
    <w:qFormat/>
    <w:rsid w:val="003A57F5"/>
    <w:pPr>
      <w:spacing w:before="100" w:beforeAutospacing="1" w:after="100" w:afterAutospacing="1" w:line="240" w:lineRule="auto"/>
      <w:jc w:val="left"/>
      <w:outlineLvl w:val="0"/>
    </w:pPr>
    <w:rPr>
      <w:rFonts w:eastAsia="Times New Roman"/>
      <w:b/>
      <w:bCs/>
      <w:color w:val="auto"/>
      <w:kern w:val="36"/>
      <w:sz w:val="48"/>
      <w:szCs w:val="48"/>
      <w:lang w:val="ru-RU" w:eastAsia="ru-RU"/>
    </w:rPr>
  </w:style>
  <w:style w:type="paragraph" w:styleId="Heading3">
    <w:name w:val="heading 3"/>
    <w:basedOn w:val="Normal"/>
    <w:next w:val="Normal"/>
    <w:link w:val="Heading3Char"/>
    <w:uiPriority w:val="99"/>
    <w:qFormat/>
    <w:rsid w:val="00052AD9"/>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7F5"/>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052AD9"/>
    <w:rPr>
      <w:rFonts w:ascii="Calibri Light" w:hAnsi="Calibri Light" w:cs="Times New Roman"/>
      <w:color w:val="1F3763"/>
      <w:sz w:val="24"/>
      <w:szCs w:val="24"/>
      <w:lang w:val="uk-UA"/>
    </w:rPr>
  </w:style>
  <w:style w:type="paragraph" w:styleId="ListParagraph">
    <w:name w:val="List Paragraph"/>
    <w:basedOn w:val="Normal"/>
    <w:uiPriority w:val="99"/>
    <w:qFormat/>
    <w:rsid w:val="00442CAD"/>
    <w:pPr>
      <w:ind w:left="720"/>
      <w:contextualSpacing/>
    </w:pPr>
  </w:style>
  <w:style w:type="character" w:styleId="Hyperlink">
    <w:name w:val="Hyperlink"/>
    <w:basedOn w:val="DefaultParagraphFont"/>
    <w:uiPriority w:val="99"/>
    <w:rsid w:val="00ED3885"/>
    <w:rPr>
      <w:rFonts w:cs="Times New Roman"/>
      <w:color w:val="0563C1"/>
      <w:u w:val="single"/>
    </w:rPr>
  </w:style>
  <w:style w:type="character" w:customStyle="1" w:styleId="UnresolvedMention">
    <w:name w:val="Unresolved Mention"/>
    <w:basedOn w:val="DefaultParagraphFont"/>
    <w:uiPriority w:val="99"/>
    <w:semiHidden/>
    <w:rsid w:val="00ED3885"/>
    <w:rPr>
      <w:rFonts w:cs="Times New Roman"/>
      <w:color w:val="605E5C"/>
      <w:shd w:val="clear" w:color="auto" w:fill="E1DFDD"/>
    </w:rPr>
  </w:style>
  <w:style w:type="paragraph" w:styleId="Header">
    <w:name w:val="header"/>
    <w:basedOn w:val="Normal"/>
    <w:link w:val="HeaderChar"/>
    <w:uiPriority w:val="99"/>
    <w:rsid w:val="00DD0850"/>
    <w:pPr>
      <w:tabs>
        <w:tab w:val="center" w:pos="4677"/>
        <w:tab w:val="right" w:pos="9355"/>
      </w:tabs>
    </w:pPr>
  </w:style>
  <w:style w:type="character" w:customStyle="1" w:styleId="HeaderChar">
    <w:name w:val="Header Char"/>
    <w:basedOn w:val="DefaultParagraphFont"/>
    <w:link w:val="Header"/>
    <w:uiPriority w:val="99"/>
    <w:semiHidden/>
    <w:rsid w:val="002D5185"/>
    <w:rPr>
      <w:rFonts w:ascii="Times New Roman" w:hAnsi="Times New Roman"/>
      <w:color w:val="000000"/>
      <w:kern w:val="2"/>
      <w:sz w:val="28"/>
      <w:lang w:val="uk-UA"/>
    </w:rPr>
  </w:style>
  <w:style w:type="character" w:styleId="PageNumber">
    <w:name w:val="page number"/>
    <w:basedOn w:val="DefaultParagraphFont"/>
    <w:uiPriority w:val="99"/>
    <w:rsid w:val="00DD0850"/>
    <w:rPr>
      <w:rFonts w:cs="Times New Roman"/>
    </w:rPr>
  </w:style>
  <w:style w:type="paragraph" w:styleId="Footer">
    <w:name w:val="footer"/>
    <w:basedOn w:val="Normal"/>
    <w:link w:val="FooterChar"/>
    <w:uiPriority w:val="99"/>
    <w:rsid w:val="00DD0850"/>
    <w:pPr>
      <w:tabs>
        <w:tab w:val="center" w:pos="4677"/>
        <w:tab w:val="right" w:pos="9355"/>
      </w:tabs>
    </w:pPr>
  </w:style>
  <w:style w:type="character" w:customStyle="1" w:styleId="FooterChar">
    <w:name w:val="Footer Char"/>
    <w:basedOn w:val="DefaultParagraphFont"/>
    <w:link w:val="Footer"/>
    <w:uiPriority w:val="99"/>
    <w:semiHidden/>
    <w:rsid w:val="002D5185"/>
    <w:rPr>
      <w:rFonts w:ascii="Times New Roman" w:hAnsi="Times New Roman"/>
      <w:color w:val="000000"/>
      <w:kern w:val="2"/>
      <w:sz w:val="28"/>
      <w:lang w:val="uk-UA"/>
    </w:rPr>
  </w:style>
</w:styles>
</file>

<file path=word/webSettings.xml><?xml version="1.0" encoding="utf-8"?>
<w:webSettings xmlns:r="http://schemas.openxmlformats.org/officeDocument/2006/relationships" xmlns:w="http://schemas.openxmlformats.org/wordprocessingml/2006/main">
  <w:divs>
    <w:div w:id="535585565">
      <w:marLeft w:val="0"/>
      <w:marRight w:val="0"/>
      <w:marTop w:val="0"/>
      <w:marBottom w:val="0"/>
      <w:divBdr>
        <w:top w:val="none" w:sz="0" w:space="0" w:color="auto"/>
        <w:left w:val="none" w:sz="0" w:space="0" w:color="auto"/>
        <w:bottom w:val="none" w:sz="0" w:space="0" w:color="auto"/>
        <w:right w:val="none" w:sz="0" w:space="0" w:color="auto"/>
      </w:divBdr>
    </w:div>
    <w:div w:id="535585566">
      <w:marLeft w:val="0"/>
      <w:marRight w:val="0"/>
      <w:marTop w:val="0"/>
      <w:marBottom w:val="0"/>
      <w:divBdr>
        <w:top w:val="none" w:sz="0" w:space="0" w:color="auto"/>
        <w:left w:val="none" w:sz="0" w:space="0" w:color="auto"/>
        <w:bottom w:val="none" w:sz="0" w:space="0" w:color="auto"/>
        <w:right w:val="none" w:sz="0" w:space="0" w:color="auto"/>
      </w:divBdr>
    </w:div>
    <w:div w:id="535585567">
      <w:marLeft w:val="0"/>
      <w:marRight w:val="0"/>
      <w:marTop w:val="0"/>
      <w:marBottom w:val="0"/>
      <w:divBdr>
        <w:top w:val="none" w:sz="0" w:space="0" w:color="auto"/>
        <w:left w:val="none" w:sz="0" w:space="0" w:color="auto"/>
        <w:bottom w:val="none" w:sz="0" w:space="0" w:color="auto"/>
        <w:right w:val="none" w:sz="0" w:space="0" w:color="auto"/>
      </w:divBdr>
    </w:div>
    <w:div w:id="535585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1014</Words>
  <Characters>5786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ТЕНДЕНЦІЇ РОЗВИТКУ МІЖНАРОДНИХ ФОНДОВИХ БІРЖ</dc:title>
  <dc:subject/>
  <dc:creator>Пользователь</dc:creator>
  <cp:keywords/>
  <dc:description/>
  <cp:lastModifiedBy>Пользователь Windows</cp:lastModifiedBy>
  <cp:revision>2</cp:revision>
  <cp:lastPrinted>2024-05-15T19:53:00Z</cp:lastPrinted>
  <dcterms:created xsi:type="dcterms:W3CDTF">2025-02-05T09:18:00Z</dcterms:created>
  <dcterms:modified xsi:type="dcterms:W3CDTF">2025-02-05T09:18:00Z</dcterms:modified>
</cp:coreProperties>
</file>