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rPr>
          <w:rFonts w:ascii="Times New Roman" w:cs="Times New Roman" w:eastAsia="Calibri" w:hAnsi="Times New Roman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УДК: 377.3(477.74)"18/19"</w:t>
      </w: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Надія АГАФОНОВА,</w:t>
      </w:r>
    </w:p>
    <w:p>
      <w:pPr>
        <w:pStyle w:val="style0"/>
        <w:spacing w:after="120" w:lineRule="auto" w:line="240"/>
        <w:ind w:firstLine="709"/>
        <w:jc w:val="right"/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канд</w:t>
      </w: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іст</w:t>
      </w: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. наук, доцент</w:t>
      </w: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Ольга ЛУНЬОВА,</w:t>
      </w: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канд</w:t>
      </w: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іст</w:t>
      </w:r>
      <w:r>
        <w:rPr>
          <w:rFonts w:ascii="Times New Roman" w:cs="Times New Roman" w:eastAsia="Times New Roman" w:hAnsi="Times New Roman"/>
          <w:bCs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. наук, доцент,</w:t>
      </w: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bCs/>
          <w:i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i/>
          <w:kern w:val="0"/>
          <w:sz w:val="28"/>
          <w:szCs w:val="28"/>
          <w:lang w:eastAsia="ru-RU"/>
          <w14:ligatures xmlns:w14="http://schemas.microsoft.com/office/word/2010/wordml" w14:val="none"/>
        </w:rPr>
        <w:t>Одеський національний економічний університет</w:t>
      </w: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bCs/>
          <w:i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i/>
          <w:kern w:val="0"/>
          <w:sz w:val="28"/>
          <w:szCs w:val="28"/>
          <w:lang w:eastAsia="ru-RU"/>
          <w14:ligatures xmlns:w14="http://schemas.microsoft.com/office/word/2010/wordml" w14:val="none"/>
        </w:rPr>
        <w:t>(Україна, м. Одеса)</w:t>
      </w: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bCs/>
          <w:i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ДО ІСТОРІЇ ЗАСНУВАННЯ ОДЕСЬКОГО 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i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КОМЕРЦІЙНОГО УЧИЛИЩА 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i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В статті акцентовано на витоках комерційної освіти в Одесі. Розкрито процедуру заснування Імператорського комерційного училища та відтворено історію його становлення і розвитку.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kern w:val="0"/>
          <w:sz w:val="24"/>
          <w:szCs w:val="24"/>
          <w:lang w:val="ru-RU" w:eastAsia="ru-RU"/>
          <w14:ligatures xmlns:w14="http://schemas.microsoft.com/office/word/2010/wordml" w14:val="none"/>
        </w:rPr>
        <w:t>Ключов</w:t>
      </w:r>
      <w:r>
        <w:rPr>
          <w:rFonts w:ascii="Times New Roman" w:cs="Times New Roman" w:eastAsia="Times New Roman" w:hAnsi="Times New Roman"/>
          <w:b/>
          <w:bCs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і слова: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комерція, порто-франко, училище, статут, попечительська рада, педагогічна рада.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article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focuses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on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origins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commercial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education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in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Odessa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procedure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for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establishing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Imperial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Commercial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School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was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revealed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and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history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its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formation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and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development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was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reproduced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Keywords</w:t>
      </w:r>
      <w:r>
        <w:rPr>
          <w:rFonts w:ascii="Times New Roman" w:cs="Times New Roman" w:eastAsia="Times New Roman" w:hAnsi="Times New Roman"/>
          <w:b/>
          <w:bCs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: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commerce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porto-franco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school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charter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board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trustees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teaching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board</w:t>
      </w:r>
      <w:r>
        <w:rPr>
          <w:rFonts w:ascii="Times New Roman" w:cs="Times New Roman" w:eastAsia="Times New Roman" w:hAnsi="Times New Roman"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eastAsia="Times New Roman" w:hAnsi="Times New Roman"/>
          <w:b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Належний рівень економічної освіти – гарант успішного розвитку держави. Досвід економічної освіти українські території напрацьовують починаючи з ХІХ ст. Одним з  провідних центрів стає Одеса. Потужним осередком набуття навиків і умінь роботи в економічній сфері від 1862 року було Одеське імператорське комерційне училище, історія заснування якого і є предметом дослідження в даній статті.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Перша увага щодо заснування Одеського комерційного училища, виникає у 1887 році: опубліковано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Исторический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очерк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Одесского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коммерческого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училища»  авторства П. М. Іскри. Другий прояв уваги до комерційної освіти в Одесі – ювілейне видання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Исторический очерк 50-летия коммерческого училища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». 1940 року професор А. Г.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Готалов-Готліб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підготував до друку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«Материалы для истории народного образования в Одессе. Историографический очерк», де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да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є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загальну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оц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і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нку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осв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ітньої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справи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 Одесі у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др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пол. ХІХ ст., 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контексті якої наявний акцент на продуктивності комерційної (економічної) освіти в Одесі.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У даній науковій розробці на основі наявного історіографічного досвіду і шляхом залучення нових джерел встановлено мотив предметної уваги економічно активного осередку, купецтва Одеси, до підготовки кадрів для функціонування місцевого комерційного механізму. Реконструйовано практику функціонування і досягнень Одеського імператорського комерційного училища в галузі економічної освіти 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др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пол. ХІХ ст. – на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поч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. ХХ ст.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Засноване 1794 року місто Одеса, мало забезпечити розвиток комерційної справи в імперії. Комерцію плановано розвивати як внутрішню, так і зовнішню, тобто експортну і імпортну. Імпортна і експортна комерція поставили вимогу організації системи спеціальних закладів, установ, підприємств: торгових домів, бірж, магазинів, митниць, контор, ломбардів, ярмарків.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Уже 1796 року в Одесі відкрито Біржу, 1801 – засновано перший  комерційний дім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Фурьє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(в 1802 – їх вже 18). Іменним розпорядженням від 1 травня 1903 року в Одесі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«учреждены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оммерческая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Расправа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два ярмарка и ломбард» [1]. 1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804 року вийшло спеціальне розпорядження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на адресу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сенату: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«Об учреждении в городе Одесе на 5 лет магазинов для складки товаров»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, яке також посприяло становленню і розвитку комерційної справи. Законність процесу мав забезпечити заснований 1806 року комерційний суд. Його компетенції передбачали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совершение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купчих,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закладных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всякого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рода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сделок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на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неограниченные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суммы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»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[1]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Того ж року торговому місту Одеса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Указом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на 25 років затверджено торгову і промислову пільгу. 1817 року видано Маніфест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«Об учреждении порто-франко в Одессе». 1831 – 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і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дкрито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перше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паро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плавне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сполучення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Одес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а –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Константинопол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ь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(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пароплав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«Нева»), 1833 – засновано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Чорноморське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пароплавне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товариство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Діяльність означених спеціалізованих установ, організацій, спілок, товариств вимагала спеціально теоретично і практично підготовлених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функціонерів: бухгалтерів, касирів, кореспондентів, комісіонерів, рахівників, різного роду агентів. Першим навчальним закладом такого плану було офіційно зареєстроване приватне училище, що його відкрив колезький асесор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Вретто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1 грудня 1800 року. Завданням його було навчати дітей іноземним мовам: грецькій, італійській, щ скоріш за все було пов’язано з торгівельними зв’язками Одеси [2, с. 6]. Училище функціонувало до 1 грудня 1801 року. 1804 року з ініціативи міністра духовних справ і народної освіти графа П.В.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Завадовського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 Одесі засновано комерційну гімназію, яку у 1817 році об’єднали  з Благородним інститутом. Цього ж року ці дві структури «увібрав»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Рішельєвський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ліцей. У середині ХІХ ст. в Одесі запрацював приватний навчальний заклад Новицького, в якому функціонувало додаткове («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прибавочное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отделение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») відділення, де викладали і вивчали комерційні науки. Контингент відділення 75 вихованців, з яких 40 належало до купецького стану.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Стає очевидним той факт, що на середину ХІХ ст. комерційна справа в Одесі потерпала від нестачі фахівців. Тому до справи береться одеське купецтво, на загальних зборах якого у 1851 році прийнято рішення про відкриття в Одесі на кошти купецтва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высшего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крае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специального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коммерческого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училища для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доставления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коммерческого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образования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детям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торгового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сословия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что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могло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бы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иметь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сильное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влияние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на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развитие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промышленности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торговли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здешнего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края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Бессарабии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».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Новоросійський і Бессарабський генерал-губернатор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Аннєнков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подає звернення на адресу міністра внутрішніх справ, який, в свою чергу, адресує його міністрові народної освіти. Ініціатива не знайшла заперечень за однієї умови: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«…господин министр не находит препятствий к учреждению помянутого училища, если предложение купечества о взносе нужной для того суммы не встретит затруднения».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Засновники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мали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щороку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долучатися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до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виплат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: «…сбор с купечества, сообразно гильдиям, потребной суммы для учреждения училища с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тем, чтобы сбор этот был определен особым приговором купеческого общества»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[1].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іністр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внутрішніх справ до свого розпорядження додав: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Что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же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касается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ходатайства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купечества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материальном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содействии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стороны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города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расходах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на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содержание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училища, то г.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министр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находит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что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город Одесса, при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настоящем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положении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городских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сумм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не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может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принять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никакого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участия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». Міська дума у травні 1853 р. прийняла рішення за яким оголошено збір коштів на заснування училища. Щорічні внески купецтва регламентовано: купці І гільдії мали вносити – 25 рублів, ІІ – 15, ІІІ – 5. Для організації справи створено комісію, до якої увійшли: статський радник А.О. Скальковський, купець І гільдії Ілля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Посохов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купець І гільдії Олександр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Заріфі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купець І гільдії Павло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Іракліді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купець ІІ гільдії Микола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Шиманів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купець ІІІ гільдії Яків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Гвоздинович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та комерційний радник Гаврило Логінов.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Першим завданням стало створення уставу училища. Над його змістом працювали А. Скальковський, Г. Логінов, Я.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Гвоздинович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Кримська війна 1853-1855 років перервала  роботу з організації училища. Та в 1856 році, у зв’язку з заключенням миру, питання щодо училища знову набуло актуальності. Генерал-губернатор Новоросії і Бессарабії нагадує кандидатові на місце голови міста Я.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Черепенникову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: «… по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изменившимся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обстоятельствам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(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т.е.лучшего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положення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одесской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коммерции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вследствии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заключения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мира)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весьма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желательно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дать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благому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предположению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немедленное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развитие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принять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деятельные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меры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к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окончанию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устава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для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коммерческого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училища». На цьому етапі дещо змінюється склад комісії, до її складу увійшли почесний громадянин Одеси Василь Білий, купець ІІ гільдії Дмитро Токарєв, купець І гільдії Соломон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Гурович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Роботу над проектом Статуту завершено 1856 року. Процедура передбачала ознайомлення з його текстом попечителя учбової округи: таємного радника М.І. Пирогова. Обговорення Статуту відбулося 1858 року. М.І. Пирогов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наполягав на тому, щоб це був не загальноосвітній заклад, а спеціалізований: комерційне училище. Та відкриття училища було неможливим через відсутність коштів. Одеська міська дума звертається до міських дум і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ратушей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південного краю з пропозицією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оказать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материальное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содействие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», та охочих майже не було.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Височайшим указом за № 37631 від 14 листопада 1853 року затверджено Статут Одеського комерційного училища. Зі змісту указу виходить, що питання про відкриття училища розглядалося Департаментом економіки («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экономии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»). Указ є, власне, дозволом на заснування: «…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учредить в городе Одессе Коммерческое училище для специального образования лиц, посвящающих себя торговле» [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3,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с.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455].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Кер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івництво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училищем покладалося на Попечительську раду, а завдання – на директора, якому мали допомагати інспектор і два наглядачі. У наказі є акцент, що підсилював мотивацію засновників: особам, що жертвували 2 тисячі рублів сріблом одночасно, чи 300 рублів щорічно дозволялося присвоєння звання благодійника училища [3, с. 466]. Благодійники мали брати участь у засіданні Попечительської ради і впливати на її рішення щодо важливих питань в роботі училища.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Відповідальність за навчальну і виховну роботу покладалася на Педагогічну раду, яку очолив Р. В.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Орбинський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Статут визначав і контингент училища: «В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Коммерческое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принимаются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молодые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люди всякого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звания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веросповедания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не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моложе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14 и не старше 18 лет,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которые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представят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свидетельства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обо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окончании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с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успехом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курса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первых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4-х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классов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гимназии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или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же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выдержат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определенный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для поступлення в училище екзамен» [3, с. 467]. Щодо контингенту встановлювався кількісний регламент: 200 учнів, з яких 100 мали платити за навчання 60 рублів на рік, а «… на 100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учеников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преимущественно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из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детей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обедневших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купцов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так же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мещан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недостаточного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состояния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других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сословий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обучаются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бесплатно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» [3, с. 467].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Зміст Статуту включає і перелік предметів: Закон Божий («по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исповеданиям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»), мови (французька, німецька, англійська, італійська, новогрецька), російська історія і географія, арифметика пристосована до комерції, початкова фізика, бухгалтерія, товарознавство, комерційна кореспонденція (діловодство), теорія страхування, технологія, історія державного господарства, торгова статистика, право (фінансове, торгове, митне), чистописання, музика, співи, танці. [1, с. 224].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У 60-ті- 80-ті роки викладацький склад училища активно поповнювався професорами Новоросійського університету. У його штаті працювали І.І. Леонтович, Л.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Беркевич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А.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Веріго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І.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Патлаєвський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А.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Брікнер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Н. Власьєв, В.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Палаузов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Н.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Постніков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. 1870 року училище реформовано. Його структура передбачала функціонування двох відділень: загальноосвітнього (4 роки), комерційного (2 роки).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Л.Г.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Готалов-Готліб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характеризуючи освітній процес в Одесі 19 ст., зазначав: «…с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конца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70-х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годов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училище по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благоустройству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своего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здания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по багатству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учебных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пособий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по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хорошему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подбору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учителей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общей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постановке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учебного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дела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заняло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пожалуй, перове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место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среди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учебных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заведений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Одессы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» [4, с. 141].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Перший випуск припав на 1866 рік. Випускові іспити проходили публічно, за присутності представників вищої адміністрації міста та краю. З 13 випускників атестовано 10. З 10 атестованих один вступив на навчання до технологічного інституту, 9 – приступили до роботи в купецьких конторах Одеси та інших міст Новоросійського краю.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На початковому етапі свого функціонування училище орендувало приміщення Лікарської управи, потім – міського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сиротинця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за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адресою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Преображенська, 6. У жовтні 1875 року прийнято рішення будувати спеціальне приміщення. 14 квітня 1876 року відбулися закладини першого каменю. Про це повідомлялося в газеті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Новороссийский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телеграф»: «…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совершена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закладка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первого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камня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будущого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здания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коммерческого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училища.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После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молебного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служения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совершенного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законодателем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священником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Неводчиковым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в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присутствии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г. попечителя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Одесского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ученого округа, директора училища и старшими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купеческого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сословия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членов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купеческой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управы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членов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Попечительного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совета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положена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металлическая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доска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с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подобающему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случаю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надписью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» [5]. Будівництво здійснювалося за проектом архітектора Ф.В.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Гонсіоровського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інженерними роботами керував А.М.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Пашков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[6, с 97]. Роботи завершено 1877 року. Фронтон Одеського комерційного училища на Преображенській, 6 (сьогодні – Преображенська, 8) прикрашала вивіска: «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Коммерческое училище, учрежденное одесским купечеством в память императора Николая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І.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Открыто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 1862 г.»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У другій половині 80-х років ХІХ ст. педагогічна рада розробляє проект перетворення училища на комерційний інститут. Плани перервали війна та революція. Комерційне училище перестало функціонувати у 1917 р. [7, с 70]. останнім головою Попечительської ради був М.Г.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Кражевін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, директором – А.В.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Вирлан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. Остаточне встановлення радянської влади призвело до ліквідації діючої до революції системи освіти. У відповідності до нової системи практика підготовки фахівців економічного спрямування  у 1921 році переходить до Одеського інституту народного господарства, який у статусі Кредитно-економічного інституту мешкатиме з 1932 р. в приміщенні за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адресою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Преображенська, 8.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Одеса вже на початку ХІХ ст. набирає характеристик економічної столиці  імперії. Функціонування  суб’єктів економічної діяльності вимагало фахового забезпечення. Центром фахової підготовки стає засноване в 1862 році з ініціативи одеського купецтва Одеське імператорське комерційне училище, яке до 1917 року з перемінним успіхом забезпечувало кадрами комерційну галузь.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i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i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120" w:lineRule="auto" w:line="240"/>
        <w:ind w:firstLine="709"/>
        <w:jc w:val="center"/>
        <w:rPr>
          <w:rFonts w:ascii="Times New Roman" w:cs="Times New Roman" w:eastAsia="Times New Roman" w:hAnsi="Times New Roman"/>
          <w:b/>
          <w:bCs/>
          <w:i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kern w:val="0"/>
          <w:sz w:val="24"/>
          <w:szCs w:val="24"/>
          <w:lang w:eastAsia="ru-RU"/>
          <w14:ligatures xmlns:w14="http://schemas.microsoft.com/office/word/2010/wordml" w14:val="none"/>
        </w:rPr>
        <w:t>Список використаних джерел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Исторический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очерк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50-летия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коммерческого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училища. – Одесса: «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Центральная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типография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», 1912.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Галас О., Ковальов А. Легенди Преображенської, 8. Популярна історія Одеського національного економічного університету. Частина перша. Одеське комерційне училище –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alma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mater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української економічної освіти. Одеса: ОНЕУ. 2024. 81 с.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Полное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Собрание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Законов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Российской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империи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Собрание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второе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. Т. ХХХVІ.  СПб. 1873.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Готалов-Готлиб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Г.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Материалы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для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истории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народного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образования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в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Одессе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Историографический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очерк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. Одесса. 1940.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Новороссийский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телеграф. 1876. 16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апреля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Здания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Одессы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их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зодчие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. – Одесса: СПД «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Фридман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А.С.». 2008.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Адрес-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календарь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Одесского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Градоначальства на 1917 г.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Издание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Ведомостей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>Одесского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Градоначальства».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rPr>
          <w:rFonts w:ascii="Times New Roman" w:cs="Times New Roman" w:eastAsia="Calibri" w:hAnsi="Times New Roman"/>
          <w14:ligatures xmlns:w14="http://schemas.microsoft.com/office/word/2010/wordml" w14:val="none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0"/>
      <w:tabs>
        <w:tab w:val="center" w:leader="none" w:pos="4819"/>
        <w:tab w:val="right" w:leader="none" w:pos="9639"/>
      </w:tabs>
      <w:spacing w:after="0" w:lineRule="auto" w:line="240"/>
      <w:rPr>
        <w:rFonts w:ascii="Calibri" w:cs="Times New Roman" w:eastAsia="Calibri" w:hAnsi="Calibri"/>
      </w:rPr>
    </w:pPr>
    <w:r>
      <w:rPr>
        <w:rFonts w:ascii="Calibri" w:cs="Times New Roman" w:eastAsia="Calibri" w:hAnsi="Calibri"/>
      </w:rP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8490D2"/>
    <w:lvl w:ilvl="0" w:tplc="A9501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3047-F650-43AA-A9E6-35517D21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1819</Words>
  <Pages>8</Pages>
  <Characters>12111</Characters>
  <Application>WPS Office</Application>
  <DocSecurity>0</DocSecurity>
  <Paragraphs>58</Paragraphs>
  <ScaleCrop>false</ScaleCrop>
  <LinksUpToDate>false</LinksUpToDate>
  <CharactersWithSpaces>13926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2025-06-18T08:18:47Z</dcterms:created>
  <dc:creator>лили историк</dc:creator>
  <lastModifiedBy>TECNO KG7n</lastModifiedBy>
  <dcterms:modified xsi:type="dcterms:W3CDTF">2025-06-18T08:18:47Z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39a610f0640f477aaf02f8044c50f3e4</vt:lpwstr>
  </property>
</Properties>
</file>